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CA8A" w14:textId="699E467F" w:rsidR="00A36AD1" w:rsidRPr="00A36AD1" w:rsidRDefault="00A36AD1" w:rsidP="00E004DF">
      <w:pPr>
        <w:jc w:val="center"/>
        <w:rPr>
          <w:rFonts w:asciiTheme="majorHAnsi" w:hAnsiTheme="majorHAnsi" w:cstheme="majorHAnsi"/>
          <w:lang w:val="es-ES"/>
        </w:rPr>
      </w:pPr>
      <w:r w:rsidRPr="00A36AD1">
        <w:rPr>
          <w:rFonts w:asciiTheme="majorHAnsi" w:hAnsiTheme="majorHAnsi" w:cstheme="majorHAnsi"/>
          <w:lang w:val="es-ES"/>
        </w:rPr>
        <w:t xml:space="preserve">SECRETARIA GENERAL </w:t>
      </w:r>
    </w:p>
    <w:p w14:paraId="160C618B" w14:textId="12B188AE" w:rsidR="00E004DF" w:rsidRPr="00A36AD1" w:rsidRDefault="00233855" w:rsidP="00E004DF">
      <w:pPr>
        <w:jc w:val="center"/>
        <w:rPr>
          <w:rFonts w:asciiTheme="majorHAnsi" w:hAnsiTheme="majorHAnsi" w:cstheme="majorHAnsi"/>
          <w:lang w:val="es-ES"/>
        </w:rPr>
      </w:pPr>
      <w:r w:rsidRPr="00A36AD1">
        <w:rPr>
          <w:rFonts w:asciiTheme="majorHAnsi" w:hAnsiTheme="majorHAnsi" w:cstheme="majorHAnsi"/>
          <w:lang w:val="es-ES"/>
        </w:rPr>
        <w:t>DIRECCIÓN GENERAL DE ARQUITECTURA Y DESARROLLO URBANO</w:t>
      </w:r>
    </w:p>
    <w:p w14:paraId="7406D90D" w14:textId="27EB5807" w:rsidR="00E004DF" w:rsidRPr="00C87D20" w:rsidRDefault="00A52D6A" w:rsidP="00E004DF">
      <w:pPr>
        <w:jc w:val="center"/>
        <w:rPr>
          <w:rFonts w:asciiTheme="majorHAnsi" w:hAnsiTheme="majorHAnsi" w:cstheme="majorHAnsi"/>
          <w:lang w:val="es-ES"/>
        </w:rPr>
      </w:pPr>
      <w:r w:rsidRPr="00A36AD1">
        <w:rPr>
          <w:rFonts w:asciiTheme="majorHAnsi" w:hAnsiTheme="majorHAnsi" w:cstheme="majorHAnsi"/>
          <w:lang w:val="es-ES"/>
        </w:rPr>
        <w:t>DIRECCIÓ</w:t>
      </w:r>
      <w:r w:rsidR="00E004DF" w:rsidRPr="00A36AD1">
        <w:rPr>
          <w:rFonts w:asciiTheme="majorHAnsi" w:hAnsiTheme="majorHAnsi" w:cstheme="majorHAnsi"/>
          <w:lang w:val="es-ES"/>
        </w:rPr>
        <w:t>N DE OBRAS PARTICULARES</w:t>
      </w:r>
    </w:p>
    <w:p w14:paraId="45C1B378" w14:textId="77777777" w:rsidR="00E004DF" w:rsidRDefault="00E004DF" w:rsidP="00E004DF">
      <w:pPr>
        <w:jc w:val="center"/>
        <w:rPr>
          <w:rFonts w:asciiTheme="majorHAnsi" w:hAnsiTheme="majorHAnsi" w:cstheme="majorHAnsi"/>
          <w:b/>
          <w:szCs w:val="22"/>
          <w:lang w:val="es-AR"/>
        </w:rPr>
      </w:pPr>
    </w:p>
    <w:p w14:paraId="5CE27BA8" w14:textId="77AEBA5D" w:rsidR="003C6FDE" w:rsidRPr="004C4C5B" w:rsidRDefault="003C6FDE" w:rsidP="00E004DF">
      <w:pPr>
        <w:jc w:val="center"/>
        <w:rPr>
          <w:rFonts w:asciiTheme="majorHAnsi" w:hAnsiTheme="majorHAnsi" w:cstheme="majorHAnsi"/>
          <w:b/>
          <w:szCs w:val="22"/>
          <w:lang w:val="es-AR"/>
        </w:rPr>
      </w:pPr>
      <w:r w:rsidRPr="004C4C5B">
        <w:rPr>
          <w:rFonts w:asciiTheme="majorHAnsi" w:hAnsiTheme="majorHAnsi" w:cstheme="majorHAnsi"/>
          <w:b/>
          <w:szCs w:val="22"/>
          <w:lang w:val="es-AR"/>
        </w:rPr>
        <w:t>CAPITULO VIII</w:t>
      </w:r>
    </w:p>
    <w:p w14:paraId="330EE43A" w14:textId="61A20AD4" w:rsidR="00E004DF" w:rsidRPr="006C71BA" w:rsidRDefault="003C6FDE" w:rsidP="00E004DF">
      <w:pPr>
        <w:jc w:val="center"/>
        <w:rPr>
          <w:rFonts w:asciiTheme="majorHAnsi" w:hAnsiTheme="majorHAnsi" w:cstheme="majorHAnsi"/>
          <w:b/>
          <w:szCs w:val="22"/>
          <w:lang w:val="es-AR"/>
        </w:rPr>
      </w:pPr>
      <w:r>
        <w:rPr>
          <w:rFonts w:asciiTheme="majorHAnsi" w:hAnsiTheme="majorHAnsi" w:cstheme="majorHAnsi"/>
          <w:b/>
          <w:szCs w:val="22"/>
          <w:lang w:val="es-AR"/>
        </w:rPr>
        <w:t>DERECHOS DE CONSTRUCCIÓN</w:t>
      </w:r>
    </w:p>
    <w:p w14:paraId="5D56528B" w14:textId="521E9884" w:rsidR="00E004DF" w:rsidRDefault="00E004DF" w:rsidP="00E004DF">
      <w:pPr>
        <w:jc w:val="center"/>
        <w:rPr>
          <w:rFonts w:asciiTheme="majorHAnsi" w:hAnsiTheme="majorHAnsi" w:cstheme="majorHAnsi"/>
          <w:b/>
          <w:szCs w:val="22"/>
          <w:lang w:val="es-AR"/>
        </w:rPr>
      </w:pPr>
    </w:p>
    <w:p w14:paraId="535A6B87" w14:textId="77777777" w:rsidR="005D5CDD" w:rsidRDefault="005D5CDD" w:rsidP="003C6FDE">
      <w:pPr>
        <w:rPr>
          <w:rFonts w:asciiTheme="majorHAnsi" w:hAnsiTheme="majorHAnsi" w:cstheme="majorHAnsi"/>
          <w:sz w:val="22"/>
          <w:szCs w:val="22"/>
          <w:u w:val="single"/>
          <w:lang w:val="es-AR"/>
        </w:rPr>
      </w:pPr>
    </w:p>
    <w:p w14:paraId="053075EE" w14:textId="4235FCE5"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u w:val="single"/>
          <w:lang w:val="es-AR"/>
        </w:rPr>
        <w:t>ARTICULO 46°:</w:t>
      </w:r>
      <w:r w:rsidRPr="005D5CDD">
        <w:rPr>
          <w:rFonts w:asciiTheme="majorHAnsi" w:hAnsiTheme="majorHAnsi" w:cstheme="majorHAnsi"/>
          <w:sz w:val="22"/>
          <w:szCs w:val="22"/>
          <w:lang w:val="es-AR"/>
        </w:rPr>
        <w:t xml:space="preserve"> Obras Privadas</w:t>
      </w:r>
    </w:p>
    <w:p w14:paraId="2C33C6D8" w14:textId="77777777" w:rsidR="003C6FDE" w:rsidRPr="005D5CDD" w:rsidRDefault="003C6FDE" w:rsidP="003C6FDE">
      <w:pPr>
        <w:rPr>
          <w:rFonts w:asciiTheme="majorHAnsi" w:hAnsiTheme="majorHAnsi" w:cstheme="majorHAnsi"/>
          <w:sz w:val="22"/>
          <w:szCs w:val="22"/>
          <w:lang w:val="es-AR"/>
        </w:rPr>
      </w:pPr>
    </w:p>
    <w:p w14:paraId="5960044A" w14:textId="135BFEB8" w:rsidR="003C6FDE" w:rsidRPr="00A36AD1" w:rsidRDefault="003C6FDE" w:rsidP="005D5CDD">
      <w:pPr>
        <w:pStyle w:val="Prrafodelista"/>
        <w:numPr>
          <w:ilvl w:val="0"/>
          <w:numId w:val="3"/>
        </w:numPr>
        <w:ind w:left="0" w:hanging="284"/>
        <w:rPr>
          <w:rFonts w:asciiTheme="majorHAnsi" w:hAnsiTheme="majorHAnsi" w:cstheme="majorHAnsi"/>
          <w:sz w:val="22"/>
          <w:szCs w:val="22"/>
          <w:highlight w:val="yellow"/>
          <w:lang w:val="es-AR"/>
        </w:rPr>
      </w:pPr>
      <w:r w:rsidRPr="005D5CDD">
        <w:rPr>
          <w:rFonts w:asciiTheme="majorHAnsi" w:hAnsiTheme="majorHAnsi" w:cstheme="majorHAnsi"/>
          <w:sz w:val="22"/>
          <w:szCs w:val="22"/>
          <w:lang w:val="es-AR"/>
        </w:rPr>
        <w:t xml:space="preserve">De acuerdo a lo que establece el </w:t>
      </w:r>
      <w:r w:rsidR="00DA63B3" w:rsidRPr="005D5CDD">
        <w:rPr>
          <w:rFonts w:asciiTheme="majorHAnsi" w:hAnsiTheme="majorHAnsi" w:cstheme="majorHAnsi"/>
          <w:sz w:val="22"/>
          <w:szCs w:val="22"/>
          <w:lang w:val="es-AR"/>
        </w:rPr>
        <w:t>Artículo</w:t>
      </w:r>
      <w:r w:rsidRPr="005D5CDD">
        <w:rPr>
          <w:rFonts w:asciiTheme="majorHAnsi" w:hAnsiTheme="majorHAnsi" w:cstheme="majorHAnsi"/>
          <w:sz w:val="22"/>
          <w:szCs w:val="22"/>
          <w:lang w:val="es-AR"/>
        </w:rPr>
        <w:t xml:space="preserve"> 153° de la Ordenanza Fiscal la alícuota a aplicar al valo</w:t>
      </w:r>
      <w:r w:rsidR="002130BD">
        <w:rPr>
          <w:rFonts w:asciiTheme="majorHAnsi" w:hAnsiTheme="majorHAnsi" w:cstheme="majorHAnsi"/>
          <w:sz w:val="22"/>
          <w:szCs w:val="22"/>
          <w:lang w:val="es-AR"/>
        </w:rPr>
        <w:t xml:space="preserve">r resultante en cada caso, </w:t>
      </w:r>
      <w:r w:rsidR="002130BD" w:rsidRPr="00A36AD1">
        <w:rPr>
          <w:rFonts w:asciiTheme="majorHAnsi" w:hAnsiTheme="majorHAnsi" w:cstheme="majorHAnsi"/>
          <w:sz w:val="22"/>
          <w:szCs w:val="22"/>
          <w:lang w:val="es-AR"/>
        </w:rPr>
        <w:t xml:space="preserve">será de hasta: </w:t>
      </w:r>
    </w:p>
    <w:p w14:paraId="51E72FF5" w14:textId="77777777" w:rsidR="003C6FDE" w:rsidRPr="005D5CDD" w:rsidRDefault="003C6FDE" w:rsidP="003C6FDE">
      <w:pPr>
        <w:rPr>
          <w:rFonts w:asciiTheme="majorHAnsi" w:hAnsiTheme="majorHAnsi" w:cstheme="majorHAnsi"/>
          <w:sz w:val="22"/>
          <w:szCs w:val="22"/>
          <w:lang w:val="es-AR"/>
        </w:rPr>
      </w:pPr>
    </w:p>
    <w:tbl>
      <w:tblPr>
        <w:tblStyle w:val="Tablaconcuadrcula"/>
        <w:tblW w:w="0" w:type="auto"/>
        <w:tblLook w:val="04A0" w:firstRow="1" w:lastRow="0" w:firstColumn="1" w:lastColumn="0" w:noHBand="0" w:noVBand="1"/>
      </w:tblPr>
      <w:tblGrid>
        <w:gridCol w:w="7909"/>
        <w:gridCol w:w="812"/>
      </w:tblGrid>
      <w:tr w:rsidR="003C6FDE" w:rsidRPr="005D5CDD" w14:paraId="339D8364" w14:textId="77777777" w:rsidTr="00233855">
        <w:tc>
          <w:tcPr>
            <w:tcW w:w="8188" w:type="dxa"/>
          </w:tcPr>
          <w:p w14:paraId="43B41146" w14:textId="604DC097"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unifamiliares en zona Residencial Mixta hasta 70 m</w:t>
            </w:r>
            <w:r w:rsidRPr="005D5CDD">
              <w:rPr>
                <w:rFonts w:asciiTheme="majorHAnsi" w:hAnsiTheme="majorHAnsi" w:cstheme="majorHAnsi"/>
                <w:sz w:val="22"/>
                <w:szCs w:val="22"/>
                <w:vertAlign w:val="superscript"/>
                <w:lang w:val="es-AR"/>
              </w:rPr>
              <w:t>2</w:t>
            </w:r>
          </w:p>
        </w:tc>
        <w:tc>
          <w:tcPr>
            <w:tcW w:w="814" w:type="dxa"/>
          </w:tcPr>
          <w:p w14:paraId="6E0792F4" w14:textId="3D5CC6B5"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0.30%</w:t>
            </w:r>
          </w:p>
        </w:tc>
      </w:tr>
      <w:tr w:rsidR="003C6FDE" w:rsidRPr="005D5CDD" w14:paraId="30F3F25B" w14:textId="77777777" w:rsidTr="00233855">
        <w:tc>
          <w:tcPr>
            <w:tcW w:w="8188" w:type="dxa"/>
          </w:tcPr>
          <w:p w14:paraId="3CC66A9F" w14:textId="246A1655"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unifamiliares en zona Residencial Mixta de 71 m</w:t>
            </w:r>
            <w:r w:rsidRPr="005D5CDD">
              <w:rPr>
                <w:rFonts w:asciiTheme="majorHAnsi" w:hAnsiTheme="majorHAnsi" w:cstheme="majorHAnsi"/>
                <w:sz w:val="22"/>
                <w:szCs w:val="22"/>
                <w:vertAlign w:val="superscript"/>
                <w:lang w:val="es-AR"/>
              </w:rPr>
              <w:t>2</w:t>
            </w:r>
            <w:r w:rsidRPr="005D5CDD">
              <w:rPr>
                <w:rFonts w:asciiTheme="majorHAnsi" w:hAnsiTheme="majorHAnsi" w:cstheme="majorHAnsi"/>
                <w:sz w:val="22"/>
                <w:szCs w:val="22"/>
                <w:lang w:val="es-AR"/>
              </w:rPr>
              <w:t xml:space="preserve"> en adelante</w:t>
            </w:r>
          </w:p>
        </w:tc>
        <w:tc>
          <w:tcPr>
            <w:tcW w:w="814" w:type="dxa"/>
          </w:tcPr>
          <w:p w14:paraId="22F520B1" w14:textId="1E11F38A" w:rsidR="003C6FDE" w:rsidRPr="005D5CDD" w:rsidRDefault="003C6FDE" w:rsidP="004164A7">
            <w:pPr>
              <w:rPr>
                <w:rFonts w:asciiTheme="majorHAnsi" w:hAnsiTheme="majorHAnsi" w:cstheme="majorHAnsi"/>
                <w:sz w:val="22"/>
                <w:szCs w:val="22"/>
                <w:lang w:val="es-AR"/>
              </w:rPr>
            </w:pPr>
            <w:r w:rsidRPr="005D5CDD">
              <w:rPr>
                <w:rFonts w:asciiTheme="majorHAnsi" w:hAnsiTheme="majorHAnsi" w:cstheme="majorHAnsi"/>
                <w:sz w:val="22"/>
                <w:szCs w:val="22"/>
                <w:lang w:val="es-AR"/>
              </w:rPr>
              <w:t>0.</w:t>
            </w:r>
            <w:r w:rsidR="004164A7" w:rsidRPr="005D5CDD">
              <w:rPr>
                <w:rFonts w:asciiTheme="majorHAnsi" w:hAnsiTheme="majorHAnsi" w:cstheme="majorHAnsi"/>
                <w:sz w:val="22"/>
                <w:szCs w:val="22"/>
                <w:lang w:val="es-AR"/>
              </w:rPr>
              <w:t>8</w:t>
            </w:r>
            <w:r w:rsidRPr="005D5CDD">
              <w:rPr>
                <w:rFonts w:asciiTheme="majorHAnsi" w:hAnsiTheme="majorHAnsi" w:cstheme="majorHAnsi"/>
                <w:sz w:val="22"/>
                <w:szCs w:val="22"/>
                <w:lang w:val="es-AR"/>
              </w:rPr>
              <w:t>0%</w:t>
            </w:r>
          </w:p>
        </w:tc>
      </w:tr>
      <w:tr w:rsidR="003C6FDE" w:rsidRPr="005D5CDD" w14:paraId="59DFB6FE" w14:textId="77777777" w:rsidTr="00233855">
        <w:tc>
          <w:tcPr>
            <w:tcW w:w="8188" w:type="dxa"/>
          </w:tcPr>
          <w:p w14:paraId="19A54E8C" w14:textId="4F2C0820"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 xml:space="preserve">Viviendas unifamiliares en zona Residencial Media y Residencial </w:t>
            </w:r>
            <w:r w:rsidR="00DA63B3" w:rsidRPr="005D5CDD">
              <w:rPr>
                <w:rFonts w:asciiTheme="majorHAnsi" w:hAnsiTheme="majorHAnsi" w:cstheme="majorHAnsi"/>
                <w:sz w:val="22"/>
                <w:szCs w:val="22"/>
                <w:lang w:val="es-AR"/>
              </w:rPr>
              <w:t>Máxima</w:t>
            </w:r>
          </w:p>
        </w:tc>
        <w:tc>
          <w:tcPr>
            <w:tcW w:w="814" w:type="dxa"/>
          </w:tcPr>
          <w:p w14:paraId="75C32141" w14:textId="00B678B2"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3C6FDE" w:rsidRPr="005D5CDD" w14:paraId="7F8E2F56" w14:textId="77777777" w:rsidTr="00233855">
        <w:tc>
          <w:tcPr>
            <w:tcW w:w="8188" w:type="dxa"/>
          </w:tcPr>
          <w:p w14:paraId="767C1C31" w14:textId="2A48ED53"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unifamiliares en C, Mi y Ma</w:t>
            </w:r>
          </w:p>
        </w:tc>
        <w:tc>
          <w:tcPr>
            <w:tcW w:w="814" w:type="dxa"/>
          </w:tcPr>
          <w:p w14:paraId="12526F8D" w14:textId="324A5649"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3C6FDE" w:rsidRPr="005D5CDD" w14:paraId="4FE8CEC7" w14:textId="77777777" w:rsidTr="00233855">
        <w:tc>
          <w:tcPr>
            <w:tcW w:w="8188" w:type="dxa"/>
          </w:tcPr>
          <w:p w14:paraId="0CBB0283" w14:textId="4AC5459F"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dos unidades</w:t>
            </w:r>
          </w:p>
        </w:tc>
        <w:tc>
          <w:tcPr>
            <w:tcW w:w="814" w:type="dxa"/>
          </w:tcPr>
          <w:p w14:paraId="7D5C1043" w14:textId="0AB40CB6"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0.90%</w:t>
            </w:r>
          </w:p>
        </w:tc>
      </w:tr>
      <w:tr w:rsidR="003C6FDE" w:rsidRPr="005D5CDD" w14:paraId="6F39E87A" w14:textId="77777777" w:rsidTr="00233855">
        <w:tc>
          <w:tcPr>
            <w:tcW w:w="8188" w:type="dxa"/>
          </w:tcPr>
          <w:p w14:paraId="31518C79" w14:textId="7F25F783"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tres unidades</w:t>
            </w:r>
          </w:p>
        </w:tc>
        <w:tc>
          <w:tcPr>
            <w:tcW w:w="814" w:type="dxa"/>
          </w:tcPr>
          <w:p w14:paraId="2086D22E" w14:textId="6147B073"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3C6FDE" w:rsidRPr="005D5CDD" w14:paraId="7D9E7791" w14:textId="77777777" w:rsidTr="00233855">
        <w:tc>
          <w:tcPr>
            <w:tcW w:w="8188" w:type="dxa"/>
          </w:tcPr>
          <w:p w14:paraId="1B989240" w14:textId="7257F207"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cuatro unidades</w:t>
            </w:r>
          </w:p>
        </w:tc>
        <w:tc>
          <w:tcPr>
            <w:tcW w:w="814" w:type="dxa"/>
          </w:tcPr>
          <w:p w14:paraId="472F5360" w14:textId="2E885914"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1.10%</w:t>
            </w:r>
          </w:p>
        </w:tc>
      </w:tr>
      <w:tr w:rsidR="003C6FDE" w:rsidRPr="005D5CDD" w14:paraId="36030BC7" w14:textId="77777777" w:rsidTr="00233855">
        <w:tc>
          <w:tcPr>
            <w:tcW w:w="8188" w:type="dxa"/>
          </w:tcPr>
          <w:p w14:paraId="435DF2E2" w14:textId="43844005"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cinco unidades</w:t>
            </w:r>
          </w:p>
        </w:tc>
        <w:tc>
          <w:tcPr>
            <w:tcW w:w="814" w:type="dxa"/>
          </w:tcPr>
          <w:p w14:paraId="063B8FA9" w14:textId="43AE53B6"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1.20%</w:t>
            </w:r>
          </w:p>
        </w:tc>
      </w:tr>
      <w:tr w:rsidR="003C6FDE" w:rsidRPr="005D5CDD" w14:paraId="327E356B" w14:textId="77777777" w:rsidTr="00233855">
        <w:tc>
          <w:tcPr>
            <w:tcW w:w="8188" w:type="dxa"/>
          </w:tcPr>
          <w:p w14:paraId="2DE7B2C7" w14:textId="58984293"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seis unidades</w:t>
            </w:r>
          </w:p>
        </w:tc>
        <w:tc>
          <w:tcPr>
            <w:tcW w:w="814" w:type="dxa"/>
          </w:tcPr>
          <w:p w14:paraId="2CC23BD5" w14:textId="0F6A5F6C"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w:t>
            </w:r>
            <w:r w:rsidR="003C6FDE" w:rsidRPr="005D5CDD">
              <w:rPr>
                <w:rFonts w:asciiTheme="majorHAnsi" w:hAnsiTheme="majorHAnsi" w:cstheme="majorHAnsi"/>
                <w:sz w:val="22"/>
                <w:szCs w:val="22"/>
                <w:lang w:val="es-AR"/>
              </w:rPr>
              <w:t>.30%</w:t>
            </w:r>
          </w:p>
        </w:tc>
      </w:tr>
      <w:tr w:rsidR="003C6FDE" w:rsidRPr="005D5CDD" w14:paraId="4A5D03F0" w14:textId="77777777" w:rsidTr="00233855">
        <w:tc>
          <w:tcPr>
            <w:tcW w:w="8188" w:type="dxa"/>
          </w:tcPr>
          <w:p w14:paraId="2ED417F3" w14:textId="5C64B490"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hasta siete unidades</w:t>
            </w:r>
          </w:p>
        </w:tc>
        <w:tc>
          <w:tcPr>
            <w:tcW w:w="814" w:type="dxa"/>
          </w:tcPr>
          <w:p w14:paraId="19A78319" w14:textId="6D866FA2"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1.40%</w:t>
            </w:r>
          </w:p>
        </w:tc>
      </w:tr>
      <w:tr w:rsidR="003C6FDE" w:rsidRPr="005D5CDD" w14:paraId="16F7A430" w14:textId="77777777" w:rsidTr="00233855">
        <w:tc>
          <w:tcPr>
            <w:tcW w:w="8188" w:type="dxa"/>
          </w:tcPr>
          <w:p w14:paraId="6D6CEE51" w14:textId="42429E1F"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mancomunadas con ocho unidades o más</w:t>
            </w:r>
          </w:p>
        </w:tc>
        <w:tc>
          <w:tcPr>
            <w:tcW w:w="814" w:type="dxa"/>
          </w:tcPr>
          <w:p w14:paraId="06FF9B5B" w14:textId="6A8E3B51"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3C6FDE" w:rsidRPr="005D5CDD" w14:paraId="62E3DBA0" w14:textId="77777777" w:rsidTr="00233855">
        <w:tc>
          <w:tcPr>
            <w:tcW w:w="8188" w:type="dxa"/>
          </w:tcPr>
          <w:p w14:paraId="35628CC5" w14:textId="10B8DF56" w:rsidR="003C6FDE" w:rsidRPr="005D5CDD" w:rsidRDefault="003C6FDE"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Viviendas multifamiliares en conjuntos habitacionales , clubes de campo, barrios cerrados, countries y edificios de viviendas en altura</w:t>
            </w:r>
          </w:p>
        </w:tc>
        <w:tc>
          <w:tcPr>
            <w:tcW w:w="814" w:type="dxa"/>
          </w:tcPr>
          <w:p w14:paraId="20BF3869" w14:textId="14D423C9" w:rsidR="003C6FDE"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233855" w:rsidRPr="00A36AD1" w14:paraId="778BB1D3" w14:textId="77777777" w:rsidTr="00233855">
        <w:tc>
          <w:tcPr>
            <w:tcW w:w="8188" w:type="dxa"/>
          </w:tcPr>
          <w:p w14:paraId="5D22458F" w14:textId="25889573" w:rsidR="00233855" w:rsidRPr="00A36AD1" w:rsidRDefault="00233855" w:rsidP="003C6FDE">
            <w:pPr>
              <w:rPr>
                <w:rFonts w:asciiTheme="majorHAnsi" w:hAnsiTheme="majorHAnsi" w:cstheme="majorHAnsi"/>
                <w:sz w:val="22"/>
                <w:szCs w:val="22"/>
                <w:lang w:val="es-AR"/>
              </w:rPr>
            </w:pPr>
            <w:r w:rsidRPr="00A36AD1">
              <w:rPr>
                <w:rFonts w:asciiTheme="majorHAnsi" w:hAnsiTheme="majorHAnsi" w:cstheme="majorHAnsi"/>
                <w:sz w:val="22"/>
                <w:szCs w:val="22"/>
                <w:lang w:val="es-AR"/>
              </w:rPr>
              <w:t xml:space="preserve">Demolición a declarar </w:t>
            </w:r>
          </w:p>
        </w:tc>
        <w:tc>
          <w:tcPr>
            <w:tcW w:w="814" w:type="dxa"/>
          </w:tcPr>
          <w:p w14:paraId="06D369BA" w14:textId="03DA12E1" w:rsidR="00233855" w:rsidRPr="00A36AD1" w:rsidRDefault="00233855" w:rsidP="003C6FDE">
            <w:pPr>
              <w:rPr>
                <w:rFonts w:asciiTheme="majorHAnsi" w:hAnsiTheme="majorHAnsi" w:cstheme="majorHAnsi"/>
                <w:sz w:val="22"/>
                <w:szCs w:val="22"/>
                <w:lang w:val="es-AR"/>
              </w:rPr>
            </w:pPr>
            <w:r w:rsidRPr="00A36AD1">
              <w:rPr>
                <w:rFonts w:asciiTheme="majorHAnsi" w:hAnsiTheme="majorHAnsi" w:cstheme="majorHAnsi"/>
                <w:sz w:val="22"/>
                <w:szCs w:val="22"/>
                <w:lang w:val="es-AR"/>
              </w:rPr>
              <w:t>1.00%</w:t>
            </w:r>
          </w:p>
        </w:tc>
      </w:tr>
      <w:tr w:rsidR="003C6FDE" w:rsidRPr="00A36AD1" w14:paraId="2538FFD9" w14:textId="77777777" w:rsidTr="00233855">
        <w:tc>
          <w:tcPr>
            <w:tcW w:w="8188" w:type="dxa"/>
          </w:tcPr>
          <w:p w14:paraId="5A6D6DE7" w14:textId="532AC715" w:rsidR="00233855" w:rsidRPr="00A36AD1" w:rsidRDefault="00DA63B3" w:rsidP="003C6FDE">
            <w:pPr>
              <w:rPr>
                <w:rFonts w:asciiTheme="majorHAnsi" w:hAnsiTheme="majorHAnsi" w:cstheme="majorHAnsi"/>
                <w:sz w:val="22"/>
                <w:szCs w:val="22"/>
                <w:lang w:val="es-AR"/>
              </w:rPr>
            </w:pPr>
            <w:r w:rsidRPr="00A36AD1">
              <w:rPr>
                <w:rFonts w:asciiTheme="majorHAnsi" w:hAnsiTheme="majorHAnsi" w:cstheme="majorHAnsi"/>
                <w:sz w:val="22"/>
                <w:szCs w:val="22"/>
                <w:lang w:val="es-AR"/>
              </w:rPr>
              <w:t>Demolición</w:t>
            </w:r>
            <w:r w:rsidR="00233855" w:rsidRPr="00A36AD1">
              <w:rPr>
                <w:rFonts w:asciiTheme="majorHAnsi" w:hAnsiTheme="majorHAnsi" w:cstheme="majorHAnsi"/>
                <w:sz w:val="22"/>
                <w:szCs w:val="22"/>
                <w:lang w:val="es-AR"/>
              </w:rPr>
              <w:t xml:space="preserve"> ejecutada sin permiso</w:t>
            </w:r>
          </w:p>
        </w:tc>
        <w:tc>
          <w:tcPr>
            <w:tcW w:w="814" w:type="dxa"/>
          </w:tcPr>
          <w:p w14:paraId="331E1C86" w14:textId="2A832CAE" w:rsidR="003C6FDE" w:rsidRPr="00A36AD1" w:rsidRDefault="004164A7" w:rsidP="00233855">
            <w:pPr>
              <w:rPr>
                <w:rFonts w:asciiTheme="majorHAnsi" w:hAnsiTheme="majorHAnsi" w:cstheme="majorHAnsi"/>
                <w:sz w:val="22"/>
                <w:szCs w:val="22"/>
                <w:lang w:val="es-AR"/>
              </w:rPr>
            </w:pPr>
            <w:r w:rsidRPr="00A36AD1">
              <w:rPr>
                <w:rFonts w:asciiTheme="majorHAnsi" w:hAnsiTheme="majorHAnsi" w:cstheme="majorHAnsi"/>
                <w:sz w:val="22"/>
                <w:szCs w:val="22"/>
                <w:lang w:val="es-AR"/>
              </w:rPr>
              <w:t>1.</w:t>
            </w:r>
            <w:r w:rsidR="00233855" w:rsidRPr="00A36AD1">
              <w:rPr>
                <w:rFonts w:asciiTheme="majorHAnsi" w:hAnsiTheme="majorHAnsi" w:cstheme="majorHAnsi"/>
                <w:sz w:val="22"/>
                <w:szCs w:val="22"/>
                <w:lang w:val="es-AR"/>
              </w:rPr>
              <w:t>5</w:t>
            </w:r>
            <w:r w:rsidRPr="00A36AD1">
              <w:rPr>
                <w:rFonts w:asciiTheme="majorHAnsi" w:hAnsiTheme="majorHAnsi" w:cstheme="majorHAnsi"/>
                <w:sz w:val="22"/>
                <w:szCs w:val="22"/>
                <w:lang w:val="es-AR"/>
              </w:rPr>
              <w:t>0%</w:t>
            </w:r>
          </w:p>
        </w:tc>
      </w:tr>
      <w:tr w:rsidR="003C6FDE" w:rsidRPr="00A36AD1" w14:paraId="2E822004" w14:textId="77777777" w:rsidTr="00233855">
        <w:tc>
          <w:tcPr>
            <w:tcW w:w="8188" w:type="dxa"/>
          </w:tcPr>
          <w:p w14:paraId="16BBE008" w14:textId="5D131DC8" w:rsidR="003C6FDE" w:rsidRPr="00A36AD1" w:rsidRDefault="00DA63B3" w:rsidP="003C6FDE">
            <w:pPr>
              <w:rPr>
                <w:rFonts w:asciiTheme="majorHAnsi" w:hAnsiTheme="majorHAnsi" w:cstheme="majorHAnsi"/>
                <w:sz w:val="22"/>
                <w:szCs w:val="22"/>
                <w:lang w:val="es-AR"/>
              </w:rPr>
            </w:pPr>
            <w:r w:rsidRPr="00A36AD1">
              <w:rPr>
                <w:rFonts w:asciiTheme="majorHAnsi" w:hAnsiTheme="majorHAnsi" w:cstheme="majorHAnsi"/>
                <w:sz w:val="22"/>
                <w:szCs w:val="22"/>
                <w:lang w:val="es-AR"/>
              </w:rPr>
              <w:t>Educación</w:t>
            </w:r>
          </w:p>
        </w:tc>
        <w:tc>
          <w:tcPr>
            <w:tcW w:w="814" w:type="dxa"/>
          </w:tcPr>
          <w:p w14:paraId="408E4F39" w14:textId="19B75363" w:rsidR="003C6FDE" w:rsidRPr="00A36AD1" w:rsidRDefault="006F6540" w:rsidP="003C6FDE">
            <w:pPr>
              <w:rPr>
                <w:rFonts w:asciiTheme="majorHAnsi" w:hAnsiTheme="majorHAnsi" w:cstheme="majorHAnsi"/>
                <w:sz w:val="22"/>
                <w:szCs w:val="22"/>
                <w:lang w:val="es-AR"/>
              </w:rPr>
            </w:pPr>
            <w:r w:rsidRPr="00A36AD1">
              <w:rPr>
                <w:rFonts w:asciiTheme="majorHAnsi" w:hAnsiTheme="majorHAnsi" w:cstheme="majorHAnsi"/>
                <w:sz w:val="22"/>
                <w:szCs w:val="22"/>
                <w:lang w:val="es-AR"/>
              </w:rPr>
              <w:t>0.75%</w:t>
            </w:r>
          </w:p>
        </w:tc>
      </w:tr>
      <w:tr w:rsidR="004164A7" w:rsidRPr="005D5CDD" w14:paraId="4E30783F" w14:textId="77777777" w:rsidTr="00233855">
        <w:tc>
          <w:tcPr>
            <w:tcW w:w="8188" w:type="dxa"/>
          </w:tcPr>
          <w:p w14:paraId="5112F8EB" w14:textId="15AA6904"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Salud</w:t>
            </w:r>
          </w:p>
        </w:tc>
        <w:tc>
          <w:tcPr>
            <w:tcW w:w="814" w:type="dxa"/>
          </w:tcPr>
          <w:p w14:paraId="5FE42370" w14:textId="24FBD998"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4164A7" w:rsidRPr="005D5CDD" w14:paraId="098DE660" w14:textId="77777777" w:rsidTr="00233855">
        <w:tc>
          <w:tcPr>
            <w:tcW w:w="8188" w:type="dxa"/>
          </w:tcPr>
          <w:p w14:paraId="3481ECB1" w14:textId="458B88B5"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Culto</w:t>
            </w:r>
          </w:p>
        </w:tc>
        <w:tc>
          <w:tcPr>
            <w:tcW w:w="814" w:type="dxa"/>
          </w:tcPr>
          <w:p w14:paraId="77621A0A" w14:textId="1C3912A6"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4164A7" w:rsidRPr="005D5CDD" w14:paraId="4DA835C2" w14:textId="77777777" w:rsidTr="00233855">
        <w:tc>
          <w:tcPr>
            <w:tcW w:w="8188" w:type="dxa"/>
          </w:tcPr>
          <w:p w14:paraId="23CBA434" w14:textId="150861D2"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Comercios</w:t>
            </w:r>
          </w:p>
        </w:tc>
        <w:tc>
          <w:tcPr>
            <w:tcW w:w="814" w:type="dxa"/>
          </w:tcPr>
          <w:p w14:paraId="566722A0" w14:textId="44D6322A"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4164A7" w:rsidRPr="005D5CDD" w14:paraId="0BF4AE84" w14:textId="77777777" w:rsidTr="00233855">
        <w:tc>
          <w:tcPr>
            <w:tcW w:w="8188" w:type="dxa"/>
          </w:tcPr>
          <w:p w14:paraId="492320F4" w14:textId="7D9D7580"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Oficinas</w:t>
            </w:r>
          </w:p>
        </w:tc>
        <w:tc>
          <w:tcPr>
            <w:tcW w:w="814" w:type="dxa"/>
          </w:tcPr>
          <w:p w14:paraId="63B4036F" w14:textId="684F4FEB"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4164A7" w:rsidRPr="005D5CDD" w14:paraId="1C59456F" w14:textId="77777777" w:rsidTr="00233855">
        <w:tc>
          <w:tcPr>
            <w:tcW w:w="8188" w:type="dxa"/>
          </w:tcPr>
          <w:p w14:paraId="44D7B4BA" w14:textId="1CB1A2E4"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Industrias</w:t>
            </w:r>
          </w:p>
        </w:tc>
        <w:tc>
          <w:tcPr>
            <w:tcW w:w="814" w:type="dxa"/>
          </w:tcPr>
          <w:p w14:paraId="223D14F2" w14:textId="45B9E255"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4164A7" w:rsidRPr="005D5CDD" w14:paraId="77AF7FB9" w14:textId="77777777" w:rsidTr="00233855">
        <w:tc>
          <w:tcPr>
            <w:tcW w:w="8188" w:type="dxa"/>
          </w:tcPr>
          <w:p w14:paraId="27C96BAC" w14:textId="285BE7C7" w:rsidR="004164A7" w:rsidRPr="005D5CDD" w:rsidRDefault="00DA63B3"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Depósitos</w:t>
            </w:r>
          </w:p>
        </w:tc>
        <w:tc>
          <w:tcPr>
            <w:tcW w:w="814" w:type="dxa"/>
          </w:tcPr>
          <w:p w14:paraId="75346FBC" w14:textId="072CA94E"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4164A7" w:rsidRPr="005D5CDD" w14:paraId="689E8994" w14:textId="77777777" w:rsidTr="00233855">
        <w:tc>
          <w:tcPr>
            <w:tcW w:w="8188" w:type="dxa"/>
          </w:tcPr>
          <w:p w14:paraId="22C3C2C9" w14:textId="2EEFFD84"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Piletas de natación (se computa el espejo de agua como superficie semicubierta)</w:t>
            </w:r>
          </w:p>
        </w:tc>
        <w:tc>
          <w:tcPr>
            <w:tcW w:w="814" w:type="dxa"/>
          </w:tcPr>
          <w:p w14:paraId="4B14661F" w14:textId="5767C151"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1.50%</w:t>
            </w:r>
          </w:p>
        </w:tc>
      </w:tr>
      <w:tr w:rsidR="004164A7" w:rsidRPr="005D5CDD" w14:paraId="28ED9394" w14:textId="77777777" w:rsidTr="00233855">
        <w:tc>
          <w:tcPr>
            <w:tcW w:w="8188" w:type="dxa"/>
          </w:tcPr>
          <w:p w14:paraId="2510D633" w14:textId="415B5051" w:rsidR="004164A7" w:rsidRPr="005D5CDD" w:rsidRDefault="004164A7" w:rsidP="004164A7">
            <w:pPr>
              <w:rPr>
                <w:rFonts w:asciiTheme="majorHAnsi" w:hAnsiTheme="majorHAnsi" w:cstheme="majorHAnsi"/>
                <w:sz w:val="22"/>
                <w:szCs w:val="22"/>
                <w:lang w:val="es-AR"/>
              </w:rPr>
            </w:pPr>
            <w:r w:rsidRPr="005D5CDD">
              <w:rPr>
                <w:rFonts w:asciiTheme="majorHAnsi" w:hAnsiTheme="majorHAnsi" w:cstheme="majorHAnsi"/>
                <w:sz w:val="22"/>
                <w:szCs w:val="22"/>
                <w:lang w:val="es-AR"/>
              </w:rPr>
              <w:t>Modificaciones internas o cambio de techo – Cambio de destino salvo Art. 49°</w:t>
            </w:r>
          </w:p>
        </w:tc>
        <w:tc>
          <w:tcPr>
            <w:tcW w:w="814" w:type="dxa"/>
          </w:tcPr>
          <w:p w14:paraId="11F6176E" w14:textId="02F5D100"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4164A7" w:rsidRPr="005D5CDD" w14:paraId="23A6A887" w14:textId="77777777" w:rsidTr="00233855">
        <w:tc>
          <w:tcPr>
            <w:tcW w:w="8188" w:type="dxa"/>
          </w:tcPr>
          <w:p w14:paraId="3D436C95" w14:textId="11C9D11B"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Infraestructura interna de barrios cerrados (UCP) o (energía eléctrica, gas, agua corriente, cloacas, telefonía, etc.)</w:t>
            </w:r>
          </w:p>
        </w:tc>
        <w:tc>
          <w:tcPr>
            <w:tcW w:w="814" w:type="dxa"/>
          </w:tcPr>
          <w:p w14:paraId="5EA96578" w14:textId="1A27C679"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r w:rsidR="004164A7" w:rsidRPr="005D5CDD" w14:paraId="7F942006" w14:textId="77777777" w:rsidTr="00233855">
        <w:tc>
          <w:tcPr>
            <w:tcW w:w="8188" w:type="dxa"/>
          </w:tcPr>
          <w:p w14:paraId="4B9C0727" w14:textId="2CCBBEB4" w:rsidR="004164A7" w:rsidRPr="005D5CDD" w:rsidRDefault="00DA63B3"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Bóvedas</w:t>
            </w:r>
            <w:r w:rsidR="004164A7" w:rsidRPr="005D5CDD">
              <w:rPr>
                <w:rFonts w:asciiTheme="majorHAnsi" w:hAnsiTheme="majorHAnsi" w:cstheme="majorHAnsi"/>
                <w:sz w:val="22"/>
                <w:szCs w:val="22"/>
                <w:lang w:val="es-AR"/>
              </w:rPr>
              <w:t xml:space="preserve"> o nichos en cementerio</w:t>
            </w:r>
          </w:p>
        </w:tc>
        <w:tc>
          <w:tcPr>
            <w:tcW w:w="814" w:type="dxa"/>
          </w:tcPr>
          <w:p w14:paraId="3BCB4147" w14:textId="650F61CC" w:rsidR="004164A7" w:rsidRPr="005D5CDD" w:rsidRDefault="004164A7" w:rsidP="003C6FDE">
            <w:pPr>
              <w:rPr>
                <w:rFonts w:asciiTheme="majorHAnsi" w:hAnsiTheme="majorHAnsi" w:cstheme="majorHAnsi"/>
                <w:sz w:val="22"/>
                <w:szCs w:val="22"/>
                <w:lang w:val="es-AR"/>
              </w:rPr>
            </w:pPr>
            <w:r w:rsidRPr="005D5CDD">
              <w:rPr>
                <w:rFonts w:asciiTheme="majorHAnsi" w:hAnsiTheme="majorHAnsi" w:cstheme="majorHAnsi"/>
                <w:sz w:val="22"/>
                <w:szCs w:val="22"/>
                <w:lang w:val="es-AR"/>
              </w:rPr>
              <w:t>1.00%</w:t>
            </w:r>
          </w:p>
        </w:tc>
      </w:tr>
    </w:tbl>
    <w:p w14:paraId="77713894" w14:textId="77777777" w:rsidR="003C6FDE" w:rsidRPr="005D5CDD" w:rsidRDefault="003C6FDE" w:rsidP="003C6FDE">
      <w:pPr>
        <w:rPr>
          <w:rFonts w:asciiTheme="majorHAnsi" w:hAnsiTheme="majorHAnsi" w:cstheme="majorHAnsi"/>
          <w:sz w:val="22"/>
          <w:szCs w:val="22"/>
          <w:lang w:val="es-AR"/>
        </w:rPr>
      </w:pPr>
    </w:p>
    <w:p w14:paraId="23246AE7" w14:textId="6B801758" w:rsidR="009A1338" w:rsidRPr="005D5CDD" w:rsidRDefault="009A1338" w:rsidP="009A1338">
      <w:pPr>
        <w:rPr>
          <w:rFonts w:asciiTheme="majorHAnsi" w:hAnsiTheme="majorHAnsi" w:cstheme="majorHAnsi"/>
          <w:caps/>
          <w:sz w:val="22"/>
          <w:szCs w:val="22"/>
          <w:lang w:val="es-AR"/>
        </w:rPr>
      </w:pPr>
    </w:p>
    <w:p w14:paraId="1467761F" w14:textId="78E34735" w:rsidR="009A1338" w:rsidRPr="005D5CDD" w:rsidRDefault="00DA63B3" w:rsidP="005D5CDD">
      <w:pPr>
        <w:pStyle w:val="Prrafodelista"/>
        <w:numPr>
          <w:ilvl w:val="0"/>
          <w:numId w:val="3"/>
        </w:numPr>
        <w:ind w:left="0" w:hanging="284"/>
        <w:rPr>
          <w:rFonts w:asciiTheme="majorHAnsi" w:hAnsiTheme="majorHAnsi" w:cstheme="majorHAnsi"/>
          <w:caps/>
          <w:sz w:val="22"/>
          <w:szCs w:val="22"/>
          <w:lang w:val="es-AR"/>
        </w:rPr>
      </w:pPr>
      <w:r w:rsidRPr="005D5CDD">
        <w:rPr>
          <w:rFonts w:asciiTheme="majorHAnsi" w:hAnsiTheme="majorHAnsi" w:cstheme="majorHAnsi"/>
          <w:sz w:val="22"/>
          <w:szCs w:val="22"/>
          <w:lang w:val="es-AR"/>
        </w:rPr>
        <w:t>Fíjese</w:t>
      </w:r>
      <w:r w:rsidR="006F6540" w:rsidRPr="005D5CDD">
        <w:rPr>
          <w:rFonts w:asciiTheme="majorHAnsi" w:hAnsiTheme="majorHAnsi" w:cstheme="majorHAnsi"/>
          <w:sz w:val="22"/>
          <w:szCs w:val="22"/>
          <w:lang w:val="es-AR"/>
        </w:rPr>
        <w:t xml:space="preserve"> un recargo del 30% sobre la tasa de derechos de construcción establecida en el inciso A) del presente </w:t>
      </w:r>
      <w:r w:rsidRPr="005D5CDD">
        <w:rPr>
          <w:rFonts w:asciiTheme="majorHAnsi" w:hAnsiTheme="majorHAnsi" w:cstheme="majorHAnsi"/>
          <w:sz w:val="22"/>
          <w:szCs w:val="22"/>
          <w:lang w:val="es-AR"/>
        </w:rPr>
        <w:t>artículo</w:t>
      </w:r>
      <w:r w:rsidR="006F6540" w:rsidRPr="005D5CDD">
        <w:rPr>
          <w:rFonts w:asciiTheme="majorHAnsi" w:hAnsiTheme="majorHAnsi" w:cstheme="majorHAnsi"/>
          <w:sz w:val="22"/>
          <w:szCs w:val="22"/>
          <w:lang w:val="es-AR"/>
        </w:rPr>
        <w:t>, para las construcciones iniciadas sin permiso previo que no infringes el código de zonificación ni el reglamento de construcción.</w:t>
      </w:r>
    </w:p>
    <w:p w14:paraId="646996D6" w14:textId="77777777" w:rsidR="003E30B5" w:rsidRPr="005D5CDD" w:rsidRDefault="003E30B5" w:rsidP="005D5CDD">
      <w:pPr>
        <w:pStyle w:val="Prrafodelista"/>
        <w:ind w:left="0" w:hanging="284"/>
        <w:rPr>
          <w:rFonts w:asciiTheme="majorHAnsi" w:hAnsiTheme="majorHAnsi" w:cstheme="majorHAnsi"/>
          <w:caps/>
          <w:sz w:val="22"/>
          <w:szCs w:val="22"/>
          <w:lang w:val="es-AR"/>
        </w:rPr>
      </w:pPr>
    </w:p>
    <w:p w14:paraId="68414158" w14:textId="406D7E23" w:rsidR="006F6540" w:rsidRPr="005D5CDD" w:rsidRDefault="00DA63B3" w:rsidP="005D5CDD">
      <w:pPr>
        <w:pStyle w:val="Prrafodelista"/>
        <w:numPr>
          <w:ilvl w:val="0"/>
          <w:numId w:val="3"/>
        </w:numPr>
        <w:ind w:left="0" w:hanging="284"/>
        <w:rPr>
          <w:rFonts w:asciiTheme="majorHAnsi" w:hAnsiTheme="majorHAnsi" w:cstheme="majorHAnsi"/>
          <w:caps/>
          <w:sz w:val="22"/>
          <w:szCs w:val="22"/>
          <w:lang w:val="es-AR"/>
        </w:rPr>
      </w:pPr>
      <w:r w:rsidRPr="005D5CDD">
        <w:rPr>
          <w:rFonts w:asciiTheme="majorHAnsi" w:hAnsiTheme="majorHAnsi" w:cstheme="majorHAnsi"/>
          <w:sz w:val="22"/>
          <w:szCs w:val="22"/>
          <w:lang w:val="es-AR"/>
        </w:rPr>
        <w:t>Fíjese</w:t>
      </w:r>
      <w:r w:rsidR="006F6540" w:rsidRPr="005D5CDD">
        <w:rPr>
          <w:rFonts w:asciiTheme="majorHAnsi" w:hAnsiTheme="majorHAnsi" w:cstheme="majorHAnsi"/>
          <w:sz w:val="22"/>
          <w:szCs w:val="22"/>
          <w:lang w:val="es-AR"/>
        </w:rPr>
        <w:t xml:space="preserve"> un recargo del 50% sobre la tasa de derechos de construcción establecida en el inciso A) del presente </w:t>
      </w:r>
      <w:r w:rsidRPr="005D5CDD">
        <w:rPr>
          <w:rFonts w:asciiTheme="majorHAnsi" w:hAnsiTheme="majorHAnsi" w:cstheme="majorHAnsi"/>
          <w:sz w:val="22"/>
          <w:szCs w:val="22"/>
          <w:lang w:val="es-AR"/>
        </w:rPr>
        <w:t>artículo</w:t>
      </w:r>
      <w:r w:rsidR="006F6540" w:rsidRPr="005D5CDD">
        <w:rPr>
          <w:rFonts w:asciiTheme="majorHAnsi" w:hAnsiTheme="majorHAnsi" w:cstheme="majorHAnsi"/>
          <w:sz w:val="22"/>
          <w:szCs w:val="22"/>
          <w:lang w:val="es-AR"/>
        </w:rPr>
        <w:t>, para las construcciones iniciadas sin permiso previo que infringen el reglamento de construcción.</w:t>
      </w:r>
    </w:p>
    <w:p w14:paraId="522E6E16" w14:textId="77777777" w:rsidR="003E30B5" w:rsidRPr="005D5CDD" w:rsidRDefault="003E30B5" w:rsidP="005D5CDD">
      <w:pPr>
        <w:pStyle w:val="Prrafodelista"/>
        <w:ind w:left="0" w:hanging="284"/>
        <w:rPr>
          <w:rFonts w:asciiTheme="majorHAnsi" w:hAnsiTheme="majorHAnsi" w:cstheme="majorHAnsi"/>
          <w:caps/>
          <w:sz w:val="22"/>
          <w:szCs w:val="22"/>
          <w:lang w:val="es-AR"/>
        </w:rPr>
      </w:pPr>
    </w:p>
    <w:p w14:paraId="6B6C4CE2" w14:textId="5A5C043E" w:rsidR="006F6540" w:rsidRPr="002130BD" w:rsidRDefault="006F6540" w:rsidP="005D5CDD">
      <w:pPr>
        <w:pStyle w:val="Prrafodelista"/>
        <w:numPr>
          <w:ilvl w:val="0"/>
          <w:numId w:val="3"/>
        </w:numPr>
        <w:ind w:left="0" w:hanging="284"/>
        <w:rPr>
          <w:rFonts w:asciiTheme="majorHAnsi" w:hAnsiTheme="majorHAnsi" w:cstheme="majorHAnsi"/>
          <w:caps/>
          <w:sz w:val="22"/>
          <w:szCs w:val="22"/>
          <w:lang w:val="es-AR"/>
        </w:rPr>
      </w:pPr>
      <w:r w:rsidRPr="005D5CDD">
        <w:rPr>
          <w:rFonts w:asciiTheme="majorHAnsi" w:hAnsiTheme="majorHAnsi" w:cstheme="majorHAnsi"/>
          <w:sz w:val="22"/>
          <w:szCs w:val="22"/>
          <w:lang w:val="es-AR"/>
        </w:rPr>
        <w:lastRenderedPageBreak/>
        <w:t>Independientemente de los recargos que surgen de B) y C), cuando la construcción infringe en código de zonificación, se aplicaran los siguientes recargos adicionales:</w:t>
      </w:r>
    </w:p>
    <w:p w14:paraId="139CAEEE" w14:textId="77777777" w:rsidR="002130BD" w:rsidRPr="002130BD" w:rsidRDefault="002130BD" w:rsidP="002130BD">
      <w:pPr>
        <w:pStyle w:val="Prrafodelista"/>
        <w:rPr>
          <w:rFonts w:asciiTheme="majorHAnsi" w:hAnsiTheme="majorHAnsi" w:cstheme="majorHAnsi"/>
          <w:caps/>
          <w:sz w:val="22"/>
          <w:szCs w:val="22"/>
          <w:lang w:val="es-AR"/>
        </w:rPr>
      </w:pPr>
    </w:p>
    <w:p w14:paraId="4B479144" w14:textId="77777777" w:rsidR="002130BD" w:rsidRPr="005D5CDD" w:rsidRDefault="002130BD" w:rsidP="002130BD">
      <w:pPr>
        <w:pStyle w:val="Prrafodelista"/>
        <w:ind w:left="0"/>
        <w:rPr>
          <w:rFonts w:asciiTheme="majorHAnsi" w:hAnsiTheme="majorHAnsi" w:cstheme="majorHAnsi"/>
          <w:caps/>
          <w:sz w:val="22"/>
          <w:szCs w:val="22"/>
          <w:lang w:val="es-AR"/>
        </w:rPr>
      </w:pPr>
    </w:p>
    <w:p w14:paraId="407B6EF2" w14:textId="0BAD9D02" w:rsidR="006F6540" w:rsidRPr="005D5CDD" w:rsidRDefault="006F6540" w:rsidP="005D5CDD">
      <w:pPr>
        <w:pStyle w:val="Prrafodelista"/>
        <w:numPr>
          <w:ilvl w:val="0"/>
          <w:numId w:val="4"/>
        </w:numPr>
        <w:ind w:left="0" w:hanging="284"/>
        <w:rPr>
          <w:rFonts w:asciiTheme="majorHAnsi" w:hAnsiTheme="majorHAnsi" w:cstheme="majorHAnsi"/>
          <w:caps/>
          <w:sz w:val="22"/>
          <w:szCs w:val="22"/>
          <w:lang w:val="es-AR"/>
        </w:rPr>
      </w:pPr>
      <w:r w:rsidRPr="005D5CDD">
        <w:rPr>
          <w:rFonts w:asciiTheme="majorHAnsi" w:hAnsiTheme="majorHAnsi" w:cstheme="majorHAnsi"/>
          <w:b/>
          <w:sz w:val="22"/>
          <w:szCs w:val="22"/>
          <w:lang w:val="es-AR"/>
        </w:rPr>
        <w:t>Unifamiliares</w:t>
      </w:r>
      <w:r w:rsidRPr="005D5CDD">
        <w:rPr>
          <w:rFonts w:asciiTheme="majorHAnsi" w:hAnsiTheme="majorHAnsi" w:cstheme="majorHAnsi"/>
          <w:sz w:val="22"/>
          <w:szCs w:val="22"/>
          <w:lang w:val="es-AR"/>
        </w:rPr>
        <w:t xml:space="preserve">: se fija un recargo del 70% sobre la tasa de derechos de construcción establecida en el </w:t>
      </w:r>
      <w:r w:rsidR="003E30B5" w:rsidRPr="005D5CDD">
        <w:rPr>
          <w:rFonts w:asciiTheme="majorHAnsi" w:hAnsiTheme="majorHAnsi" w:cstheme="majorHAnsi"/>
          <w:sz w:val="22"/>
          <w:szCs w:val="22"/>
          <w:lang w:val="es-AR"/>
        </w:rPr>
        <w:t xml:space="preserve">inciso A) del presente </w:t>
      </w:r>
      <w:r w:rsidR="00DA63B3" w:rsidRPr="005D5CDD">
        <w:rPr>
          <w:rFonts w:asciiTheme="majorHAnsi" w:hAnsiTheme="majorHAnsi" w:cstheme="majorHAnsi"/>
          <w:sz w:val="22"/>
          <w:szCs w:val="22"/>
          <w:lang w:val="es-AR"/>
        </w:rPr>
        <w:t>artículo</w:t>
      </w:r>
      <w:r w:rsidR="003E30B5" w:rsidRPr="005D5CDD">
        <w:rPr>
          <w:rFonts w:asciiTheme="majorHAnsi" w:hAnsiTheme="majorHAnsi" w:cstheme="majorHAnsi"/>
          <w:sz w:val="22"/>
          <w:szCs w:val="22"/>
          <w:lang w:val="es-AR"/>
        </w:rPr>
        <w:t>.</w:t>
      </w:r>
    </w:p>
    <w:p w14:paraId="5F176A52" w14:textId="77777777" w:rsidR="003E30B5" w:rsidRPr="005D5CDD" w:rsidRDefault="003E30B5" w:rsidP="005D5CDD">
      <w:pPr>
        <w:pStyle w:val="Prrafodelista"/>
        <w:ind w:left="0" w:hanging="284"/>
        <w:rPr>
          <w:rFonts w:asciiTheme="majorHAnsi" w:hAnsiTheme="majorHAnsi" w:cstheme="majorHAnsi"/>
          <w:caps/>
          <w:sz w:val="22"/>
          <w:szCs w:val="22"/>
          <w:lang w:val="es-AR"/>
        </w:rPr>
      </w:pPr>
    </w:p>
    <w:p w14:paraId="4761C016" w14:textId="0D9B23DA" w:rsidR="006F6540" w:rsidRPr="005D5CDD" w:rsidRDefault="006F6540" w:rsidP="005D5CDD">
      <w:pPr>
        <w:pStyle w:val="Prrafodelista"/>
        <w:numPr>
          <w:ilvl w:val="0"/>
          <w:numId w:val="4"/>
        </w:numPr>
        <w:tabs>
          <w:tab w:val="center" w:pos="284"/>
        </w:tabs>
        <w:ind w:left="0" w:hanging="284"/>
        <w:rPr>
          <w:rFonts w:asciiTheme="majorHAnsi" w:hAnsiTheme="majorHAnsi" w:cstheme="majorHAnsi"/>
          <w:b/>
          <w:caps/>
          <w:sz w:val="22"/>
          <w:szCs w:val="22"/>
          <w:lang w:val="es-AR"/>
        </w:rPr>
      </w:pPr>
      <w:r w:rsidRPr="005D5CDD">
        <w:rPr>
          <w:rFonts w:asciiTheme="majorHAnsi" w:hAnsiTheme="majorHAnsi" w:cstheme="majorHAnsi"/>
          <w:b/>
          <w:sz w:val="22"/>
          <w:szCs w:val="22"/>
          <w:lang w:val="es-AR"/>
        </w:rPr>
        <w:t>Multifamiliares, oficinas, barrios cerrados, club de campo, PH, y edificios en altura:</w:t>
      </w:r>
      <w:r w:rsidR="005D5CDD">
        <w:rPr>
          <w:rFonts w:asciiTheme="majorHAnsi" w:hAnsiTheme="majorHAnsi" w:cstheme="majorHAnsi"/>
          <w:b/>
          <w:sz w:val="22"/>
          <w:szCs w:val="22"/>
          <w:lang w:val="es-AR"/>
        </w:rPr>
        <w:t xml:space="preserve"> </w:t>
      </w:r>
      <w:r w:rsidRPr="005D5CDD">
        <w:rPr>
          <w:rFonts w:asciiTheme="majorHAnsi" w:hAnsiTheme="majorHAnsi" w:cstheme="majorHAnsi"/>
          <w:sz w:val="22"/>
          <w:szCs w:val="22"/>
          <w:lang w:val="es-AR"/>
        </w:rPr>
        <w:t xml:space="preserve">Se define como “valor referencial unitario” (VRU) al establecido por el CAAITBA (Caja de </w:t>
      </w:r>
      <w:r w:rsidR="00DA63B3" w:rsidRPr="005D5CDD">
        <w:rPr>
          <w:rFonts w:asciiTheme="majorHAnsi" w:hAnsiTheme="majorHAnsi" w:cstheme="majorHAnsi"/>
          <w:sz w:val="22"/>
          <w:szCs w:val="22"/>
          <w:lang w:val="es-AR"/>
        </w:rPr>
        <w:t>Previsión</w:t>
      </w:r>
      <w:r w:rsidRPr="005D5CDD">
        <w:rPr>
          <w:rFonts w:asciiTheme="majorHAnsi" w:hAnsiTheme="majorHAnsi" w:cstheme="majorHAnsi"/>
          <w:sz w:val="22"/>
          <w:szCs w:val="22"/>
          <w:lang w:val="es-AR"/>
        </w:rPr>
        <w:t xml:space="preserve"> Social para Agrimensores, Arquitectos, Ingenieros y </w:t>
      </w:r>
      <w:r w:rsidR="00DA63B3" w:rsidRPr="005D5CDD">
        <w:rPr>
          <w:rFonts w:asciiTheme="majorHAnsi" w:hAnsiTheme="majorHAnsi" w:cstheme="majorHAnsi"/>
          <w:sz w:val="22"/>
          <w:szCs w:val="22"/>
          <w:lang w:val="es-AR"/>
        </w:rPr>
        <w:t>Técnicos</w:t>
      </w:r>
      <w:r w:rsidRPr="005D5CDD">
        <w:rPr>
          <w:rFonts w:asciiTheme="majorHAnsi" w:hAnsiTheme="majorHAnsi" w:cstheme="majorHAnsi"/>
          <w:sz w:val="22"/>
          <w:szCs w:val="22"/>
          <w:lang w:val="es-AR"/>
        </w:rPr>
        <w:t xml:space="preserve"> de la Provincia de Buenos Aires) a través de sus resoluciones y al cual se someten los colegios de Agrimensores, Arquitectos, Ingenieros y </w:t>
      </w:r>
      <w:r w:rsidR="00DA63B3" w:rsidRPr="005D5CDD">
        <w:rPr>
          <w:rFonts w:asciiTheme="majorHAnsi" w:hAnsiTheme="majorHAnsi" w:cstheme="majorHAnsi"/>
          <w:sz w:val="22"/>
          <w:szCs w:val="22"/>
          <w:lang w:val="es-AR"/>
        </w:rPr>
        <w:t>Técnicos</w:t>
      </w:r>
      <w:r w:rsidRPr="005D5CDD">
        <w:rPr>
          <w:rFonts w:asciiTheme="majorHAnsi" w:hAnsiTheme="majorHAnsi" w:cstheme="majorHAnsi"/>
          <w:sz w:val="22"/>
          <w:szCs w:val="22"/>
          <w:lang w:val="es-AR"/>
        </w:rPr>
        <w:t>, vigente al momento de efectivizar el pago o realizar el convenio.</w:t>
      </w:r>
    </w:p>
    <w:p w14:paraId="14F4DA71" w14:textId="77777777" w:rsidR="003E30B5" w:rsidRPr="005D5CDD" w:rsidRDefault="003E30B5" w:rsidP="006F6540">
      <w:pPr>
        <w:ind w:left="709"/>
        <w:rPr>
          <w:rFonts w:asciiTheme="majorHAnsi" w:hAnsiTheme="majorHAnsi" w:cstheme="majorHAnsi"/>
          <w:sz w:val="22"/>
          <w:szCs w:val="22"/>
          <w:lang w:val="es-AR"/>
        </w:rPr>
      </w:pPr>
    </w:p>
    <w:p w14:paraId="106CD415" w14:textId="32419A87" w:rsidR="003E30B5" w:rsidRPr="005D5CDD" w:rsidRDefault="003E30B5" w:rsidP="005D5CDD">
      <w:pPr>
        <w:rPr>
          <w:rFonts w:asciiTheme="majorHAnsi" w:hAnsiTheme="majorHAnsi" w:cstheme="majorHAnsi"/>
          <w:sz w:val="22"/>
          <w:szCs w:val="22"/>
          <w:lang w:val="es-AR"/>
        </w:rPr>
      </w:pPr>
      <w:r w:rsidRPr="005D5CDD">
        <w:rPr>
          <w:rFonts w:asciiTheme="majorHAnsi" w:hAnsiTheme="majorHAnsi" w:cstheme="majorHAnsi"/>
          <w:sz w:val="22"/>
          <w:szCs w:val="22"/>
          <w:lang w:val="es-AR"/>
        </w:rPr>
        <w:t>El recargo se calcula de la siguiente manera:</w:t>
      </w:r>
    </w:p>
    <w:p w14:paraId="2C8E8E10" w14:textId="77777777" w:rsidR="003E30B5" w:rsidRPr="005D5CDD" w:rsidRDefault="003E30B5" w:rsidP="003E30B5">
      <w:pPr>
        <w:rPr>
          <w:rFonts w:asciiTheme="majorHAnsi" w:hAnsiTheme="majorHAnsi" w:cstheme="majorHAnsi"/>
          <w:sz w:val="22"/>
          <w:szCs w:val="22"/>
          <w:lang w:val="es-AR"/>
        </w:rPr>
      </w:pPr>
    </w:p>
    <w:p w14:paraId="19D1F906" w14:textId="068C488D" w:rsidR="003E30B5" w:rsidRPr="005D5CDD" w:rsidRDefault="003E30B5" w:rsidP="005D5CDD">
      <w:pPr>
        <w:rPr>
          <w:rFonts w:asciiTheme="majorHAnsi" w:hAnsiTheme="majorHAnsi" w:cstheme="majorHAnsi"/>
          <w:sz w:val="22"/>
          <w:szCs w:val="22"/>
          <w:lang w:val="es-AR"/>
        </w:rPr>
      </w:pPr>
      <w:r w:rsidRPr="005D5CDD">
        <w:rPr>
          <w:rFonts w:asciiTheme="majorHAnsi" w:hAnsiTheme="majorHAnsi" w:cstheme="majorHAnsi"/>
          <w:sz w:val="22"/>
          <w:szCs w:val="22"/>
          <w:lang w:val="es-AR"/>
        </w:rPr>
        <w:t>Recargo= VRU x E x Z</w:t>
      </w:r>
    </w:p>
    <w:p w14:paraId="274B15B3" w14:textId="20CDFE47" w:rsidR="003E30B5" w:rsidRPr="005D5CDD" w:rsidRDefault="00517EA3" w:rsidP="005D5CDD">
      <w:pPr>
        <w:rPr>
          <w:rFonts w:asciiTheme="majorHAnsi" w:hAnsiTheme="majorHAnsi" w:cstheme="majorHAnsi"/>
          <w:sz w:val="22"/>
          <w:szCs w:val="22"/>
          <w:lang w:val="es-AR"/>
        </w:rPr>
      </w:pPr>
      <w:r w:rsidRPr="005D5CDD">
        <w:rPr>
          <w:rFonts w:asciiTheme="majorHAnsi" w:hAnsiTheme="majorHAnsi" w:cstheme="majorHAnsi"/>
          <w:sz w:val="22"/>
          <w:szCs w:val="22"/>
          <w:lang w:val="es-AR"/>
        </w:rPr>
        <w:t>Dónde</w:t>
      </w:r>
      <w:r w:rsidR="003E30B5" w:rsidRPr="005D5CDD">
        <w:rPr>
          <w:rFonts w:asciiTheme="majorHAnsi" w:hAnsiTheme="majorHAnsi" w:cstheme="majorHAnsi"/>
          <w:sz w:val="22"/>
          <w:szCs w:val="22"/>
          <w:lang w:val="es-AR"/>
        </w:rPr>
        <w:t xml:space="preserve">: </w:t>
      </w:r>
    </w:p>
    <w:p w14:paraId="3F8FF28A" w14:textId="2CF6852C" w:rsidR="003E30B5" w:rsidRPr="005D5CDD" w:rsidRDefault="003E30B5" w:rsidP="005D5CDD">
      <w:pPr>
        <w:ind w:firstLine="284"/>
        <w:rPr>
          <w:rFonts w:asciiTheme="majorHAnsi" w:hAnsiTheme="majorHAnsi" w:cstheme="majorHAnsi"/>
          <w:sz w:val="22"/>
          <w:szCs w:val="22"/>
          <w:lang w:val="es-AR"/>
        </w:rPr>
      </w:pPr>
      <w:r w:rsidRPr="005D5CDD">
        <w:rPr>
          <w:rFonts w:asciiTheme="majorHAnsi" w:hAnsiTheme="majorHAnsi" w:cstheme="majorHAnsi"/>
          <w:sz w:val="22"/>
          <w:szCs w:val="22"/>
          <w:lang w:val="es-AR"/>
        </w:rPr>
        <w:t>Z: es un coeficiente cuyo valor es 0,5</w:t>
      </w:r>
    </w:p>
    <w:p w14:paraId="105877BF" w14:textId="5B211D13" w:rsidR="003E30B5" w:rsidRPr="005D5CDD" w:rsidRDefault="003E30B5" w:rsidP="005D5CDD">
      <w:pPr>
        <w:ind w:firstLine="284"/>
        <w:rPr>
          <w:rFonts w:asciiTheme="majorHAnsi" w:hAnsiTheme="majorHAnsi" w:cstheme="majorHAnsi"/>
          <w:sz w:val="22"/>
          <w:szCs w:val="22"/>
          <w:lang w:val="es-AR"/>
        </w:rPr>
      </w:pPr>
      <w:r w:rsidRPr="005D5CDD">
        <w:rPr>
          <w:rFonts w:asciiTheme="majorHAnsi" w:hAnsiTheme="majorHAnsi" w:cstheme="majorHAnsi"/>
          <w:sz w:val="22"/>
          <w:szCs w:val="22"/>
          <w:lang w:val="es-AR"/>
        </w:rPr>
        <w:t>VRU: es el valor referencial unitario definido anteriormente</w:t>
      </w:r>
    </w:p>
    <w:p w14:paraId="085FB7F6" w14:textId="20655166" w:rsidR="003E30B5" w:rsidRPr="005D5CDD" w:rsidRDefault="003E30B5" w:rsidP="005D5CDD">
      <w:pPr>
        <w:ind w:firstLine="284"/>
        <w:rPr>
          <w:rFonts w:asciiTheme="majorHAnsi" w:hAnsiTheme="majorHAnsi" w:cstheme="majorHAnsi"/>
          <w:sz w:val="22"/>
          <w:szCs w:val="22"/>
          <w:vertAlign w:val="subscript"/>
          <w:lang w:val="es-AR"/>
        </w:rPr>
      </w:pPr>
      <w:r w:rsidRPr="005D5CDD">
        <w:rPr>
          <w:rFonts w:asciiTheme="majorHAnsi" w:hAnsiTheme="majorHAnsi" w:cstheme="majorHAnsi"/>
          <w:sz w:val="22"/>
          <w:szCs w:val="22"/>
          <w:lang w:val="es-AR"/>
        </w:rPr>
        <w:t>E: E</w:t>
      </w:r>
      <w:r w:rsidRPr="005D5CDD">
        <w:rPr>
          <w:rFonts w:asciiTheme="majorHAnsi" w:hAnsiTheme="majorHAnsi" w:cstheme="majorHAnsi"/>
          <w:sz w:val="22"/>
          <w:szCs w:val="22"/>
          <w:vertAlign w:val="subscript"/>
          <w:lang w:val="es-AR"/>
        </w:rPr>
        <w:t>fos</w:t>
      </w:r>
      <w:r w:rsidRPr="005D5CDD">
        <w:rPr>
          <w:rFonts w:asciiTheme="majorHAnsi" w:hAnsiTheme="majorHAnsi" w:cstheme="majorHAnsi"/>
          <w:sz w:val="22"/>
          <w:szCs w:val="22"/>
          <w:lang w:val="es-AR"/>
        </w:rPr>
        <w:t xml:space="preserve"> + E</w:t>
      </w:r>
      <w:r w:rsidRPr="005D5CDD">
        <w:rPr>
          <w:rFonts w:asciiTheme="majorHAnsi" w:hAnsiTheme="majorHAnsi" w:cstheme="majorHAnsi"/>
          <w:sz w:val="22"/>
          <w:szCs w:val="22"/>
          <w:vertAlign w:val="subscript"/>
          <w:lang w:val="es-AR"/>
        </w:rPr>
        <w:t>fot</w:t>
      </w:r>
      <w:r w:rsidRPr="005D5CDD">
        <w:rPr>
          <w:rFonts w:asciiTheme="majorHAnsi" w:hAnsiTheme="majorHAnsi" w:cstheme="majorHAnsi"/>
          <w:sz w:val="22"/>
          <w:szCs w:val="22"/>
          <w:lang w:val="es-AR"/>
        </w:rPr>
        <w:t xml:space="preserve"> + E</w:t>
      </w:r>
      <w:r w:rsidRPr="005D5CDD">
        <w:rPr>
          <w:rFonts w:asciiTheme="majorHAnsi" w:hAnsiTheme="majorHAnsi" w:cstheme="majorHAnsi"/>
          <w:sz w:val="22"/>
          <w:szCs w:val="22"/>
          <w:vertAlign w:val="subscript"/>
          <w:lang w:val="es-AR"/>
        </w:rPr>
        <w:t>retiros</w:t>
      </w:r>
    </w:p>
    <w:p w14:paraId="751E757F" w14:textId="77777777" w:rsidR="003E30B5" w:rsidRPr="005D5CDD" w:rsidRDefault="003E30B5" w:rsidP="003E30B5">
      <w:pPr>
        <w:rPr>
          <w:rFonts w:asciiTheme="majorHAnsi" w:hAnsiTheme="majorHAnsi" w:cstheme="majorHAnsi"/>
          <w:sz w:val="22"/>
          <w:szCs w:val="22"/>
          <w:vertAlign w:val="subscript"/>
          <w:lang w:val="es-AR"/>
        </w:rPr>
      </w:pPr>
    </w:p>
    <w:p w14:paraId="2F8B44DE" w14:textId="7126B9A7" w:rsidR="006F6540" w:rsidRPr="005D5CDD" w:rsidRDefault="003E30B5" w:rsidP="003E30B5">
      <w:pPr>
        <w:rPr>
          <w:rFonts w:asciiTheme="majorHAnsi" w:hAnsiTheme="majorHAnsi" w:cstheme="majorHAnsi"/>
          <w:sz w:val="22"/>
          <w:szCs w:val="22"/>
          <w:lang w:val="es-AR"/>
        </w:rPr>
      </w:pPr>
      <w:r w:rsidRPr="005D5CDD">
        <w:rPr>
          <w:rFonts w:asciiTheme="majorHAnsi" w:hAnsiTheme="majorHAnsi" w:cstheme="majorHAnsi"/>
          <w:sz w:val="22"/>
          <w:szCs w:val="22"/>
          <w:lang w:val="es-AR"/>
        </w:rPr>
        <w:t xml:space="preserve">Con: </w:t>
      </w:r>
    </w:p>
    <w:p w14:paraId="75AD2B9C" w14:textId="646D3085" w:rsidR="003E30B5" w:rsidRPr="005D5CDD" w:rsidRDefault="003E30B5" w:rsidP="003E30B5">
      <w:pPr>
        <w:rPr>
          <w:rFonts w:asciiTheme="majorHAnsi" w:hAnsiTheme="majorHAnsi" w:cstheme="majorHAnsi"/>
          <w:sz w:val="22"/>
          <w:szCs w:val="22"/>
          <w:lang w:val="es-AR"/>
        </w:rPr>
      </w:pPr>
      <w:r w:rsidRPr="005D5CDD">
        <w:rPr>
          <w:rFonts w:asciiTheme="majorHAnsi" w:hAnsiTheme="majorHAnsi" w:cstheme="majorHAnsi"/>
          <w:sz w:val="22"/>
          <w:szCs w:val="22"/>
          <w:lang w:val="es-AR"/>
        </w:rPr>
        <w:t>E</w:t>
      </w:r>
      <w:r w:rsidRPr="005D5CDD">
        <w:rPr>
          <w:rFonts w:asciiTheme="majorHAnsi" w:hAnsiTheme="majorHAnsi" w:cstheme="majorHAnsi"/>
          <w:sz w:val="22"/>
          <w:szCs w:val="22"/>
          <w:vertAlign w:val="subscript"/>
          <w:lang w:val="es-AR"/>
        </w:rPr>
        <w:t>fos</w:t>
      </w:r>
      <w:r w:rsidR="00944E95" w:rsidRPr="005D5CDD">
        <w:rPr>
          <w:rFonts w:asciiTheme="majorHAnsi" w:hAnsiTheme="majorHAnsi" w:cstheme="majorHAnsi"/>
          <w:sz w:val="22"/>
          <w:szCs w:val="22"/>
          <w:lang w:val="es-AR"/>
        </w:rPr>
        <w:t>: e</w:t>
      </w:r>
      <w:r w:rsidRPr="005D5CDD">
        <w:rPr>
          <w:rFonts w:asciiTheme="majorHAnsi" w:hAnsiTheme="majorHAnsi" w:cstheme="majorHAnsi"/>
          <w:sz w:val="22"/>
          <w:szCs w:val="22"/>
          <w:lang w:val="es-AR"/>
        </w:rPr>
        <w:t>xcedente FOS, que se define como la superficie que efectivamente excede a la máxima ocupación del suelo permitida (determinada por el indicador urbanístico FOS), que se calcula como el producto entre la superficie total del terreno y el indicador FOS.</w:t>
      </w:r>
    </w:p>
    <w:p w14:paraId="343FDE53" w14:textId="77777777" w:rsidR="006F6540" w:rsidRPr="005D5CDD" w:rsidRDefault="006F6540" w:rsidP="006F6540">
      <w:pPr>
        <w:pStyle w:val="Prrafodelista"/>
        <w:ind w:left="1440"/>
        <w:rPr>
          <w:rFonts w:asciiTheme="majorHAnsi" w:hAnsiTheme="majorHAnsi" w:cstheme="majorHAnsi"/>
          <w:caps/>
          <w:sz w:val="22"/>
          <w:szCs w:val="22"/>
          <w:lang w:val="es-AR"/>
        </w:rPr>
      </w:pPr>
    </w:p>
    <w:p w14:paraId="79E96FF8" w14:textId="472CE246" w:rsidR="003E30B5" w:rsidRPr="005D5CDD" w:rsidRDefault="003E30B5" w:rsidP="003E30B5">
      <w:pPr>
        <w:rPr>
          <w:rFonts w:asciiTheme="majorHAnsi" w:hAnsiTheme="majorHAnsi" w:cstheme="majorHAnsi"/>
          <w:sz w:val="22"/>
          <w:szCs w:val="22"/>
          <w:lang w:val="es-AR"/>
        </w:rPr>
      </w:pPr>
      <w:r w:rsidRPr="005D5CDD">
        <w:rPr>
          <w:rFonts w:asciiTheme="majorHAnsi" w:hAnsiTheme="majorHAnsi" w:cstheme="majorHAnsi"/>
          <w:sz w:val="22"/>
          <w:szCs w:val="22"/>
          <w:lang w:val="es-AR"/>
        </w:rPr>
        <w:t>E</w:t>
      </w:r>
      <w:r w:rsidR="00944E95" w:rsidRPr="005D5CDD">
        <w:rPr>
          <w:rFonts w:asciiTheme="majorHAnsi" w:hAnsiTheme="majorHAnsi" w:cstheme="majorHAnsi"/>
          <w:sz w:val="22"/>
          <w:szCs w:val="22"/>
          <w:vertAlign w:val="subscript"/>
          <w:lang w:val="es-AR"/>
        </w:rPr>
        <w:t>fot</w:t>
      </w:r>
      <w:r w:rsidR="00944E95" w:rsidRPr="005D5CDD">
        <w:rPr>
          <w:rFonts w:asciiTheme="majorHAnsi" w:hAnsiTheme="majorHAnsi" w:cstheme="majorHAnsi"/>
          <w:sz w:val="22"/>
          <w:szCs w:val="22"/>
          <w:lang w:val="es-AR"/>
        </w:rPr>
        <w:t xml:space="preserve">: </w:t>
      </w:r>
      <w:r w:rsidRPr="005D5CDD">
        <w:rPr>
          <w:rFonts w:asciiTheme="majorHAnsi" w:hAnsiTheme="majorHAnsi" w:cstheme="majorHAnsi"/>
          <w:sz w:val="22"/>
          <w:szCs w:val="22"/>
          <w:lang w:val="es-AR"/>
        </w:rPr>
        <w:t>excedente FOT, que es la superficie que efectivamente excede a la máxima edificable permitida (determinada por el indicador urbanístico FOT), que se calcula como el producto entre la superficie total del terreno y el indicador FOT.</w:t>
      </w:r>
    </w:p>
    <w:p w14:paraId="0B7975A8" w14:textId="77777777" w:rsidR="003E30B5" w:rsidRPr="005D5CDD" w:rsidRDefault="003E30B5" w:rsidP="003E30B5">
      <w:pPr>
        <w:pStyle w:val="Prrafodelista"/>
        <w:ind w:left="1440"/>
        <w:rPr>
          <w:rFonts w:asciiTheme="majorHAnsi" w:hAnsiTheme="majorHAnsi" w:cstheme="majorHAnsi"/>
          <w:caps/>
          <w:sz w:val="22"/>
          <w:szCs w:val="22"/>
          <w:lang w:val="es-AR"/>
        </w:rPr>
      </w:pPr>
    </w:p>
    <w:p w14:paraId="6D50F165" w14:textId="2EEDDDAC" w:rsidR="00944E95" w:rsidRPr="005D5CDD" w:rsidRDefault="00944E95" w:rsidP="00944E95">
      <w:pPr>
        <w:rPr>
          <w:rFonts w:asciiTheme="majorHAnsi" w:hAnsiTheme="majorHAnsi" w:cstheme="majorHAnsi"/>
          <w:sz w:val="22"/>
          <w:szCs w:val="22"/>
          <w:lang w:val="es-AR"/>
        </w:rPr>
      </w:pPr>
      <w:r w:rsidRPr="005D5CDD">
        <w:rPr>
          <w:rFonts w:asciiTheme="majorHAnsi" w:hAnsiTheme="majorHAnsi" w:cstheme="majorHAnsi"/>
          <w:sz w:val="22"/>
          <w:szCs w:val="22"/>
          <w:lang w:val="es-AR"/>
        </w:rPr>
        <w:t>E</w:t>
      </w:r>
      <w:r w:rsidRPr="005D5CDD">
        <w:rPr>
          <w:rFonts w:asciiTheme="majorHAnsi" w:hAnsiTheme="majorHAnsi" w:cstheme="majorHAnsi"/>
          <w:sz w:val="22"/>
          <w:szCs w:val="22"/>
          <w:vertAlign w:val="subscript"/>
          <w:lang w:val="es-AR"/>
        </w:rPr>
        <w:t>retiros</w:t>
      </w:r>
      <w:r w:rsidRPr="005D5CDD">
        <w:rPr>
          <w:rFonts w:asciiTheme="majorHAnsi" w:hAnsiTheme="majorHAnsi" w:cstheme="majorHAnsi"/>
          <w:sz w:val="22"/>
          <w:szCs w:val="22"/>
          <w:lang w:val="es-AR"/>
        </w:rPr>
        <w:t xml:space="preserve">: excedente según retiros obligatorios, que es la suma de todas las superficies que superen estos </w:t>
      </w:r>
      <w:r w:rsidR="00517EA3" w:rsidRPr="005D5CDD">
        <w:rPr>
          <w:rFonts w:asciiTheme="majorHAnsi" w:hAnsiTheme="majorHAnsi" w:cstheme="majorHAnsi"/>
          <w:sz w:val="22"/>
          <w:szCs w:val="22"/>
          <w:lang w:val="es-AR"/>
        </w:rPr>
        <w:t>límites</w:t>
      </w:r>
      <w:r w:rsidRPr="005D5CDD">
        <w:rPr>
          <w:rFonts w:asciiTheme="majorHAnsi" w:hAnsiTheme="majorHAnsi" w:cstheme="majorHAnsi"/>
          <w:sz w:val="22"/>
          <w:szCs w:val="22"/>
          <w:lang w:val="es-AR"/>
        </w:rPr>
        <w:t xml:space="preserve">, multiplicada por el </w:t>
      </w:r>
      <w:r w:rsidR="00517EA3" w:rsidRPr="005D5CDD">
        <w:rPr>
          <w:rFonts w:asciiTheme="majorHAnsi" w:hAnsiTheme="majorHAnsi" w:cstheme="majorHAnsi"/>
          <w:sz w:val="22"/>
          <w:szCs w:val="22"/>
          <w:lang w:val="es-AR"/>
        </w:rPr>
        <w:t>número</w:t>
      </w:r>
      <w:r w:rsidRPr="005D5CDD">
        <w:rPr>
          <w:rFonts w:asciiTheme="majorHAnsi" w:hAnsiTheme="majorHAnsi" w:cstheme="majorHAnsi"/>
          <w:sz w:val="22"/>
          <w:szCs w:val="22"/>
          <w:lang w:val="es-AR"/>
        </w:rPr>
        <w:t xml:space="preserve"> de plantas en contravención construidas.</w:t>
      </w:r>
    </w:p>
    <w:p w14:paraId="00E8A14F" w14:textId="77777777" w:rsidR="00944E95" w:rsidRPr="005D5CDD" w:rsidRDefault="00944E95" w:rsidP="00944E95">
      <w:pPr>
        <w:rPr>
          <w:rFonts w:asciiTheme="majorHAnsi" w:hAnsiTheme="majorHAnsi" w:cstheme="majorHAnsi"/>
          <w:sz w:val="22"/>
          <w:szCs w:val="22"/>
          <w:lang w:val="es-AR"/>
        </w:rPr>
      </w:pPr>
    </w:p>
    <w:p w14:paraId="29E0B356" w14:textId="27F894CB" w:rsidR="00944E95" w:rsidRPr="005D5CDD" w:rsidRDefault="00944E95" w:rsidP="00944E95">
      <w:pPr>
        <w:rPr>
          <w:rFonts w:asciiTheme="majorHAnsi" w:hAnsiTheme="majorHAnsi" w:cstheme="majorHAnsi"/>
          <w:sz w:val="22"/>
          <w:szCs w:val="22"/>
          <w:vertAlign w:val="subscript"/>
          <w:lang w:val="es-AR"/>
        </w:rPr>
      </w:pPr>
      <w:r w:rsidRPr="005D5CDD">
        <w:rPr>
          <w:rFonts w:asciiTheme="majorHAnsi" w:hAnsiTheme="majorHAnsi" w:cstheme="majorHAnsi"/>
          <w:sz w:val="22"/>
          <w:szCs w:val="22"/>
          <w:lang w:val="es-AR"/>
        </w:rPr>
        <w:t xml:space="preserve">Si además, la construcción supera el </w:t>
      </w:r>
      <w:r w:rsidR="00517EA3" w:rsidRPr="005D5CDD">
        <w:rPr>
          <w:rFonts w:asciiTheme="majorHAnsi" w:hAnsiTheme="majorHAnsi" w:cstheme="majorHAnsi"/>
          <w:sz w:val="22"/>
          <w:szCs w:val="22"/>
          <w:lang w:val="es-AR"/>
        </w:rPr>
        <w:t>número</w:t>
      </w:r>
      <w:r w:rsidRPr="005D5CDD">
        <w:rPr>
          <w:rFonts w:asciiTheme="majorHAnsi" w:hAnsiTheme="majorHAnsi" w:cstheme="majorHAnsi"/>
          <w:sz w:val="22"/>
          <w:szCs w:val="22"/>
          <w:lang w:val="es-AR"/>
        </w:rPr>
        <w:t xml:space="preserve"> máximo de unidades funcionales permitidas por la legislación vigente, se aplica adicionalmente a lo anterior, un recargo de </w:t>
      </w:r>
      <w:r w:rsidRPr="00A36AD1">
        <w:rPr>
          <w:rFonts w:asciiTheme="majorHAnsi" w:hAnsiTheme="majorHAnsi" w:cstheme="majorHAnsi"/>
          <w:sz w:val="22"/>
          <w:szCs w:val="22"/>
          <w:lang w:val="es-AR"/>
        </w:rPr>
        <w:t>$</w:t>
      </w:r>
      <w:r w:rsidR="00B56B9A" w:rsidRPr="00A36AD1">
        <w:rPr>
          <w:rFonts w:asciiTheme="majorHAnsi" w:hAnsiTheme="majorHAnsi" w:cstheme="majorHAnsi"/>
          <w:sz w:val="22"/>
          <w:szCs w:val="22"/>
          <w:lang w:val="es-AR"/>
        </w:rPr>
        <w:t>63</w:t>
      </w:r>
      <w:r w:rsidR="00A36AD1">
        <w:rPr>
          <w:rFonts w:asciiTheme="majorHAnsi" w:hAnsiTheme="majorHAnsi" w:cstheme="majorHAnsi"/>
          <w:sz w:val="22"/>
          <w:szCs w:val="22"/>
          <w:lang w:val="es-AR"/>
        </w:rPr>
        <w:t>.</w:t>
      </w:r>
      <w:bookmarkStart w:id="0" w:name="_GoBack"/>
      <w:bookmarkEnd w:id="0"/>
      <w:r w:rsidR="00B56B9A" w:rsidRPr="00A36AD1">
        <w:rPr>
          <w:rFonts w:asciiTheme="majorHAnsi" w:hAnsiTheme="majorHAnsi" w:cstheme="majorHAnsi"/>
          <w:sz w:val="22"/>
          <w:szCs w:val="22"/>
          <w:lang w:val="es-AR"/>
        </w:rPr>
        <w:t>788</w:t>
      </w:r>
      <w:r w:rsidR="00A36AD1">
        <w:rPr>
          <w:rFonts w:asciiTheme="majorHAnsi" w:hAnsiTheme="majorHAnsi" w:cstheme="majorHAnsi"/>
          <w:sz w:val="22"/>
          <w:szCs w:val="22"/>
          <w:lang w:val="es-AR"/>
        </w:rPr>
        <w:t xml:space="preserve"> (cuarenta y siete mil doscientos cincuenta</w:t>
      </w:r>
      <w:r w:rsidRPr="00A36AD1">
        <w:rPr>
          <w:rFonts w:asciiTheme="majorHAnsi" w:hAnsiTheme="majorHAnsi" w:cstheme="majorHAnsi"/>
          <w:sz w:val="22"/>
          <w:szCs w:val="22"/>
          <w:lang w:val="es-AR"/>
        </w:rPr>
        <w:t>)</w:t>
      </w:r>
      <w:r w:rsidRPr="005D5CDD">
        <w:rPr>
          <w:rFonts w:asciiTheme="majorHAnsi" w:hAnsiTheme="majorHAnsi" w:cstheme="majorHAnsi"/>
          <w:sz w:val="22"/>
          <w:szCs w:val="22"/>
          <w:lang w:val="es-AR"/>
        </w:rPr>
        <w:t xml:space="preserve"> por cada unidad excedente.</w:t>
      </w:r>
    </w:p>
    <w:p w14:paraId="602B38AF" w14:textId="77777777" w:rsidR="009A1338" w:rsidRPr="005D5CDD" w:rsidRDefault="009A1338" w:rsidP="009A1338">
      <w:pPr>
        <w:rPr>
          <w:rFonts w:asciiTheme="majorHAnsi" w:hAnsiTheme="majorHAnsi" w:cstheme="majorHAnsi"/>
          <w:caps/>
          <w:sz w:val="22"/>
          <w:szCs w:val="22"/>
          <w:lang w:val="es-AR"/>
        </w:rPr>
      </w:pPr>
    </w:p>
    <w:p w14:paraId="0999054F" w14:textId="0571E94B" w:rsidR="00A7076B" w:rsidRPr="005D5CDD" w:rsidRDefault="00944E95" w:rsidP="00944E95">
      <w:pPr>
        <w:pStyle w:val="Prrafodelista"/>
        <w:numPr>
          <w:ilvl w:val="0"/>
          <w:numId w:val="4"/>
        </w:numPr>
        <w:ind w:left="284" w:hanging="284"/>
        <w:rPr>
          <w:rFonts w:asciiTheme="majorHAnsi" w:hAnsiTheme="majorHAnsi" w:cstheme="majorHAnsi"/>
          <w:caps/>
          <w:sz w:val="22"/>
          <w:szCs w:val="22"/>
          <w:lang w:val="es-AR"/>
        </w:rPr>
      </w:pPr>
      <w:r w:rsidRPr="005D5CDD">
        <w:rPr>
          <w:rFonts w:asciiTheme="majorHAnsi" w:hAnsiTheme="majorHAnsi" w:cstheme="majorHAnsi"/>
          <w:b/>
          <w:sz w:val="22"/>
          <w:szCs w:val="22"/>
          <w:lang w:val="es-AR"/>
        </w:rPr>
        <w:t xml:space="preserve">Locales, comercios, depósitos e industrias: </w:t>
      </w:r>
      <w:r w:rsidRPr="005D5CDD">
        <w:rPr>
          <w:rFonts w:asciiTheme="majorHAnsi" w:hAnsiTheme="majorHAnsi" w:cstheme="majorHAnsi"/>
          <w:sz w:val="22"/>
          <w:szCs w:val="22"/>
          <w:lang w:val="es-AR"/>
        </w:rPr>
        <w:t>el recargo se calcula de la misma forma y con las mismas definiciones que en el inciso II) según la formula.</w:t>
      </w:r>
    </w:p>
    <w:p w14:paraId="74D0B30D" w14:textId="77777777" w:rsidR="00944E95" w:rsidRPr="005D5CDD" w:rsidRDefault="00944E95" w:rsidP="00944E95">
      <w:pPr>
        <w:rPr>
          <w:rFonts w:asciiTheme="majorHAnsi" w:hAnsiTheme="majorHAnsi" w:cstheme="majorHAnsi"/>
          <w:caps/>
          <w:sz w:val="22"/>
          <w:szCs w:val="22"/>
          <w:lang w:val="es-AR"/>
        </w:rPr>
      </w:pPr>
    </w:p>
    <w:p w14:paraId="76DAA9A7" w14:textId="77777777" w:rsidR="00944E95" w:rsidRPr="005D5CDD" w:rsidRDefault="00944E95" w:rsidP="00944E95">
      <w:pPr>
        <w:rPr>
          <w:rFonts w:asciiTheme="majorHAnsi" w:hAnsiTheme="majorHAnsi" w:cstheme="majorHAnsi"/>
          <w:sz w:val="22"/>
          <w:szCs w:val="22"/>
          <w:lang w:val="es-AR"/>
        </w:rPr>
      </w:pPr>
      <w:r w:rsidRPr="005D5CDD">
        <w:rPr>
          <w:rFonts w:asciiTheme="majorHAnsi" w:hAnsiTheme="majorHAnsi" w:cstheme="majorHAnsi"/>
          <w:sz w:val="22"/>
          <w:szCs w:val="22"/>
          <w:lang w:val="es-AR"/>
        </w:rPr>
        <w:t>Recargo= VRU x E x Z</w:t>
      </w:r>
    </w:p>
    <w:p w14:paraId="0F8DA103" w14:textId="7968FDE6" w:rsidR="00944E95" w:rsidRPr="005D5CDD" w:rsidRDefault="00944E95" w:rsidP="00944E95">
      <w:pPr>
        <w:rPr>
          <w:rFonts w:asciiTheme="majorHAnsi" w:hAnsiTheme="majorHAnsi" w:cstheme="majorHAnsi"/>
          <w:sz w:val="22"/>
          <w:szCs w:val="22"/>
          <w:lang w:val="es-AR"/>
        </w:rPr>
      </w:pPr>
      <w:r w:rsidRPr="005D5CDD">
        <w:rPr>
          <w:rFonts w:asciiTheme="majorHAnsi" w:hAnsiTheme="majorHAnsi" w:cstheme="majorHAnsi"/>
          <w:sz w:val="22"/>
          <w:szCs w:val="22"/>
          <w:lang w:val="es-AR"/>
        </w:rPr>
        <w:t xml:space="preserve">Con la salvedad que el coeficiente Z varía en función de la ubicación en la que se encuentra la construcción en cuestión, según el </w:t>
      </w:r>
      <w:r w:rsidR="00517EA3" w:rsidRPr="005D5CDD">
        <w:rPr>
          <w:rFonts w:asciiTheme="majorHAnsi" w:hAnsiTheme="majorHAnsi" w:cstheme="majorHAnsi"/>
          <w:sz w:val="22"/>
          <w:szCs w:val="22"/>
          <w:lang w:val="es-AR"/>
        </w:rPr>
        <w:t>artículo</w:t>
      </w:r>
      <w:r w:rsidRPr="005D5CDD">
        <w:rPr>
          <w:rFonts w:asciiTheme="majorHAnsi" w:hAnsiTheme="majorHAnsi" w:cstheme="majorHAnsi"/>
          <w:sz w:val="22"/>
          <w:szCs w:val="22"/>
          <w:lang w:val="es-AR"/>
        </w:rPr>
        <w:t xml:space="preserve"> 15° de la presente Ordenanza que define cuatro zonas en el partido (A, B, C y D) </w:t>
      </w:r>
      <w:r w:rsidR="00DA0DCC" w:rsidRPr="005D5CDD">
        <w:rPr>
          <w:rFonts w:asciiTheme="majorHAnsi" w:hAnsiTheme="majorHAnsi" w:cstheme="majorHAnsi"/>
          <w:sz w:val="22"/>
          <w:szCs w:val="22"/>
          <w:lang w:val="es-AR"/>
        </w:rPr>
        <w:t>en función de su valor comercial. A continuación, se detallan los valores que toma el coeficiente Z según la zona:</w:t>
      </w:r>
    </w:p>
    <w:p w14:paraId="679062E6" w14:textId="77777777" w:rsidR="00DA0DCC" w:rsidRPr="005D5CDD" w:rsidRDefault="00DA0DCC" w:rsidP="00944E95">
      <w:pPr>
        <w:rPr>
          <w:rFonts w:asciiTheme="majorHAnsi" w:hAnsiTheme="majorHAnsi" w:cstheme="majorHAnsi"/>
          <w:sz w:val="22"/>
          <w:szCs w:val="22"/>
          <w:lang w:val="es-AR"/>
        </w:rPr>
      </w:pPr>
    </w:p>
    <w:tbl>
      <w:tblPr>
        <w:tblStyle w:val="Tablaconcuadrcula"/>
        <w:tblW w:w="0" w:type="auto"/>
        <w:jc w:val="center"/>
        <w:tblLook w:val="04A0" w:firstRow="1" w:lastRow="0" w:firstColumn="1" w:lastColumn="0" w:noHBand="0" w:noVBand="1"/>
      </w:tblPr>
      <w:tblGrid>
        <w:gridCol w:w="2489"/>
        <w:gridCol w:w="2489"/>
      </w:tblGrid>
      <w:tr w:rsidR="00DA0DCC" w:rsidRPr="005D5CDD" w14:paraId="7BBF72E6" w14:textId="77777777" w:rsidTr="00DA0DCC">
        <w:trPr>
          <w:trHeight w:val="288"/>
          <w:jc w:val="center"/>
        </w:trPr>
        <w:tc>
          <w:tcPr>
            <w:tcW w:w="2489" w:type="dxa"/>
          </w:tcPr>
          <w:p w14:paraId="07BD5E1D" w14:textId="09D534A9"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sz w:val="22"/>
                <w:szCs w:val="22"/>
                <w:lang w:val="es-AR"/>
              </w:rPr>
              <w:t>Zona</w:t>
            </w:r>
          </w:p>
        </w:tc>
        <w:tc>
          <w:tcPr>
            <w:tcW w:w="2489" w:type="dxa"/>
          </w:tcPr>
          <w:p w14:paraId="06D02F9E" w14:textId="2C8B39EB"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sz w:val="22"/>
                <w:szCs w:val="22"/>
                <w:lang w:val="es-AR"/>
              </w:rPr>
              <w:t>Coeficiente</w:t>
            </w:r>
          </w:p>
        </w:tc>
      </w:tr>
      <w:tr w:rsidR="00DA0DCC" w:rsidRPr="005D5CDD" w14:paraId="2A344C49" w14:textId="77777777" w:rsidTr="00DA0DCC">
        <w:trPr>
          <w:trHeight w:val="254"/>
          <w:jc w:val="center"/>
        </w:trPr>
        <w:tc>
          <w:tcPr>
            <w:tcW w:w="2489" w:type="dxa"/>
          </w:tcPr>
          <w:p w14:paraId="7AA7CBBA" w14:textId="7439AFA7"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A</w:t>
            </w:r>
          </w:p>
        </w:tc>
        <w:tc>
          <w:tcPr>
            <w:tcW w:w="2489" w:type="dxa"/>
          </w:tcPr>
          <w:p w14:paraId="123F8740" w14:textId="47CC2C65"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0,5</w:t>
            </w:r>
          </w:p>
        </w:tc>
      </w:tr>
      <w:tr w:rsidR="00DA0DCC" w:rsidRPr="005D5CDD" w14:paraId="4CEABEAF" w14:textId="77777777" w:rsidTr="00DA0DCC">
        <w:trPr>
          <w:trHeight w:val="271"/>
          <w:jc w:val="center"/>
        </w:trPr>
        <w:tc>
          <w:tcPr>
            <w:tcW w:w="2489" w:type="dxa"/>
          </w:tcPr>
          <w:p w14:paraId="335F628A" w14:textId="7ED00AE2"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B</w:t>
            </w:r>
          </w:p>
        </w:tc>
        <w:tc>
          <w:tcPr>
            <w:tcW w:w="2489" w:type="dxa"/>
          </w:tcPr>
          <w:p w14:paraId="6D540FB0" w14:textId="0E3E8B66"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0,35</w:t>
            </w:r>
          </w:p>
        </w:tc>
      </w:tr>
      <w:tr w:rsidR="00DA0DCC" w:rsidRPr="005D5CDD" w14:paraId="5A8EC7BA" w14:textId="77777777" w:rsidTr="00DA0DCC">
        <w:trPr>
          <w:trHeight w:val="271"/>
          <w:jc w:val="center"/>
        </w:trPr>
        <w:tc>
          <w:tcPr>
            <w:tcW w:w="2489" w:type="dxa"/>
          </w:tcPr>
          <w:p w14:paraId="64A22134" w14:textId="10766EF2"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C</w:t>
            </w:r>
          </w:p>
        </w:tc>
        <w:tc>
          <w:tcPr>
            <w:tcW w:w="2489" w:type="dxa"/>
          </w:tcPr>
          <w:p w14:paraId="3AE0BBBB" w14:textId="2A8AF7CE"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0,15</w:t>
            </w:r>
          </w:p>
        </w:tc>
      </w:tr>
      <w:tr w:rsidR="00DA0DCC" w:rsidRPr="005D5CDD" w14:paraId="2BAE8269" w14:textId="77777777" w:rsidTr="00DA0DCC">
        <w:trPr>
          <w:trHeight w:val="271"/>
          <w:jc w:val="center"/>
        </w:trPr>
        <w:tc>
          <w:tcPr>
            <w:tcW w:w="2489" w:type="dxa"/>
          </w:tcPr>
          <w:p w14:paraId="32911FC2" w14:textId="30517506"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D</w:t>
            </w:r>
          </w:p>
        </w:tc>
        <w:tc>
          <w:tcPr>
            <w:tcW w:w="2489" w:type="dxa"/>
          </w:tcPr>
          <w:p w14:paraId="047C329E" w14:textId="40034331" w:rsidR="00DA0DCC" w:rsidRPr="005D5CDD" w:rsidRDefault="00DA0DCC" w:rsidP="00DA0DCC">
            <w:pPr>
              <w:jc w:val="center"/>
              <w:rPr>
                <w:rFonts w:asciiTheme="majorHAnsi" w:hAnsiTheme="majorHAnsi" w:cstheme="majorHAnsi"/>
                <w:caps/>
                <w:sz w:val="22"/>
                <w:szCs w:val="22"/>
                <w:lang w:val="es-AR"/>
              </w:rPr>
            </w:pPr>
            <w:r w:rsidRPr="005D5CDD">
              <w:rPr>
                <w:rFonts w:asciiTheme="majorHAnsi" w:hAnsiTheme="majorHAnsi" w:cstheme="majorHAnsi"/>
                <w:caps/>
                <w:sz w:val="22"/>
                <w:szCs w:val="22"/>
                <w:lang w:val="es-AR"/>
              </w:rPr>
              <w:t>0,05</w:t>
            </w:r>
          </w:p>
        </w:tc>
      </w:tr>
    </w:tbl>
    <w:p w14:paraId="292EFFED" w14:textId="77777777" w:rsidR="00DA0DCC" w:rsidRPr="005D5CDD" w:rsidRDefault="00DA0DCC" w:rsidP="00944E95">
      <w:pPr>
        <w:rPr>
          <w:rFonts w:asciiTheme="majorHAnsi" w:hAnsiTheme="majorHAnsi" w:cstheme="majorHAnsi"/>
          <w:caps/>
          <w:sz w:val="22"/>
          <w:szCs w:val="22"/>
          <w:lang w:val="es-AR"/>
        </w:rPr>
      </w:pPr>
    </w:p>
    <w:p w14:paraId="7E22D514" w14:textId="42556E8B" w:rsidR="00BA7EE1" w:rsidRPr="005D5CDD" w:rsidRDefault="008A6735" w:rsidP="000D0BFA">
      <w:pPr>
        <w:pStyle w:val="Prrafodelista"/>
        <w:numPr>
          <w:ilvl w:val="0"/>
          <w:numId w:val="3"/>
        </w:numPr>
        <w:ind w:left="284" w:hanging="284"/>
        <w:rPr>
          <w:rFonts w:asciiTheme="majorHAnsi" w:hAnsiTheme="majorHAnsi" w:cstheme="majorHAnsi"/>
          <w:caps/>
          <w:sz w:val="22"/>
          <w:szCs w:val="22"/>
          <w:lang w:val="es-AR"/>
        </w:rPr>
      </w:pPr>
      <w:r w:rsidRPr="005D5CDD">
        <w:rPr>
          <w:rFonts w:asciiTheme="majorHAnsi" w:hAnsiTheme="majorHAnsi" w:cstheme="majorHAnsi"/>
          <w:sz w:val="22"/>
          <w:szCs w:val="22"/>
          <w:lang w:val="es-AR"/>
        </w:rPr>
        <w:t>En los casos en que las construcciones irregulares sean detectadas por el municipio en lugar de ser presentadas espontáneamente por el particular, todos los recargos establecidos en la presente deberán ser incrementados en un 80%.</w:t>
      </w:r>
    </w:p>
    <w:sectPr w:rsidR="00BA7EE1" w:rsidRPr="005D5CDD" w:rsidSect="005D5CDD">
      <w:headerReference w:type="even" r:id="rId8"/>
      <w:headerReference w:type="default" r:id="rId9"/>
      <w:footerReference w:type="even" r:id="rId10"/>
      <w:footerReference w:type="default" r:id="rId11"/>
      <w:pgSz w:w="11907" w:h="16839" w:code="9"/>
      <w:pgMar w:top="284" w:right="1701" w:bottom="1417" w:left="1701" w:header="274"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402DA" w14:textId="77777777" w:rsidR="005F090C" w:rsidRDefault="005F090C" w:rsidP="00721514">
      <w:r>
        <w:separator/>
      </w:r>
    </w:p>
  </w:endnote>
  <w:endnote w:type="continuationSeparator" w:id="0">
    <w:p w14:paraId="747F24E0" w14:textId="77777777" w:rsidR="005F090C" w:rsidRDefault="005F090C" w:rsidP="0072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91CA" w14:textId="77777777" w:rsidR="005F090C" w:rsidRDefault="00A36AD1">
    <w:pPr>
      <w:pStyle w:val="Piedepgina"/>
    </w:pPr>
    <w:sdt>
      <w:sdtPr>
        <w:id w:val="-1200389781"/>
        <w:temporary/>
        <w:showingPlcHdr/>
      </w:sdtPr>
      <w:sdtEndPr/>
      <w:sdtContent>
        <w:r w:rsidR="005F090C">
          <w:rPr>
            <w:lang w:val="es-ES"/>
          </w:rPr>
          <w:t>[Escriba texto]</w:t>
        </w:r>
      </w:sdtContent>
    </w:sdt>
    <w:r w:rsidR="005F090C">
      <w:ptab w:relativeTo="margin" w:alignment="center" w:leader="none"/>
    </w:r>
    <w:sdt>
      <w:sdtPr>
        <w:id w:val="1068300598"/>
        <w:temporary/>
        <w:showingPlcHdr/>
      </w:sdtPr>
      <w:sdtEndPr/>
      <w:sdtContent>
        <w:r w:rsidR="005F090C">
          <w:rPr>
            <w:lang w:val="es-ES"/>
          </w:rPr>
          <w:t>[Escriba texto]</w:t>
        </w:r>
      </w:sdtContent>
    </w:sdt>
    <w:r w:rsidR="005F090C">
      <w:ptab w:relativeTo="margin" w:alignment="right" w:leader="none"/>
    </w:r>
    <w:sdt>
      <w:sdtPr>
        <w:id w:val="66931346"/>
        <w:temporary/>
        <w:showingPlcHdr/>
      </w:sdtPr>
      <w:sdtEndPr/>
      <w:sdtContent>
        <w:r w:rsidR="005F090C">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31CC" w14:textId="77777777" w:rsidR="005F090C" w:rsidRDefault="005F090C" w:rsidP="0095186C">
    <w:pPr>
      <w:pStyle w:val="Piedepgina"/>
      <w:ind w:left="-1560"/>
    </w:pPr>
    <w:r>
      <w:rPr>
        <w:noProof/>
        <w:lang w:val="es-ES"/>
      </w:rPr>
      <w:drawing>
        <wp:inline distT="0" distB="0" distL="0" distR="0" wp14:anchorId="460E5045" wp14:editId="2C6CF3CF">
          <wp:extent cx="7366635" cy="599871"/>
          <wp:effectExtent l="0" t="0" r="0" b="101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04.jpg"/>
                  <pic:cNvPicPr/>
                </pic:nvPicPr>
                <pic:blipFill>
                  <a:blip r:embed="rId1">
                    <a:extLst>
                      <a:ext uri="{28A0092B-C50C-407E-A947-70E740481C1C}">
                        <a14:useLocalDpi xmlns:a14="http://schemas.microsoft.com/office/drawing/2010/main" val="0"/>
                      </a:ext>
                    </a:extLst>
                  </a:blip>
                  <a:stretch>
                    <a:fillRect/>
                  </a:stretch>
                </pic:blipFill>
                <pic:spPr>
                  <a:xfrm>
                    <a:off x="0" y="0"/>
                    <a:ext cx="7371932" cy="6003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5145" w14:textId="77777777" w:rsidR="005F090C" w:rsidRDefault="005F090C" w:rsidP="00721514">
      <w:r>
        <w:separator/>
      </w:r>
    </w:p>
  </w:footnote>
  <w:footnote w:type="continuationSeparator" w:id="0">
    <w:p w14:paraId="221E64AD" w14:textId="77777777" w:rsidR="005F090C" w:rsidRDefault="005F090C" w:rsidP="0072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4C4C" w14:textId="77777777" w:rsidR="005F090C" w:rsidRDefault="00A36AD1">
    <w:pPr>
      <w:pStyle w:val="Encabezado"/>
    </w:pPr>
    <w:sdt>
      <w:sdtPr>
        <w:id w:val="171999623"/>
        <w:placeholder>
          <w:docPart w:val="33D92387EB8E724AA16C3D93E6D77F52"/>
        </w:placeholder>
        <w:temporary/>
        <w:showingPlcHdr/>
      </w:sdtPr>
      <w:sdtEndPr/>
      <w:sdtContent>
        <w:r w:rsidR="005F090C">
          <w:rPr>
            <w:lang w:val="es-ES"/>
          </w:rPr>
          <w:t>[Escriba texto]</w:t>
        </w:r>
      </w:sdtContent>
    </w:sdt>
    <w:r w:rsidR="005F090C">
      <w:ptab w:relativeTo="margin" w:alignment="center" w:leader="none"/>
    </w:r>
    <w:sdt>
      <w:sdtPr>
        <w:id w:val="171999624"/>
        <w:placeholder>
          <w:docPart w:val="83B15A957F19CF42B7369C40D8DE5137"/>
        </w:placeholder>
        <w:temporary/>
        <w:showingPlcHdr/>
      </w:sdtPr>
      <w:sdtEndPr/>
      <w:sdtContent>
        <w:r w:rsidR="005F090C">
          <w:rPr>
            <w:lang w:val="es-ES"/>
          </w:rPr>
          <w:t>[Escriba texto]</w:t>
        </w:r>
      </w:sdtContent>
    </w:sdt>
    <w:r w:rsidR="005F090C">
      <w:ptab w:relativeTo="margin" w:alignment="right" w:leader="none"/>
    </w:r>
    <w:sdt>
      <w:sdtPr>
        <w:id w:val="171999625"/>
        <w:placeholder>
          <w:docPart w:val="BECB66C868F20C498E98B743399307CE"/>
        </w:placeholder>
        <w:temporary/>
        <w:showingPlcHdr/>
      </w:sdtPr>
      <w:sdtEndPr/>
      <w:sdtContent>
        <w:r w:rsidR="005F090C">
          <w:rPr>
            <w:lang w:val="es-ES"/>
          </w:rPr>
          <w:t>[Escriba texto]</w:t>
        </w:r>
      </w:sdtContent>
    </w:sdt>
  </w:p>
  <w:p w14:paraId="7C7D1EF4" w14:textId="77777777" w:rsidR="005F090C" w:rsidRDefault="005F09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8B24" w14:textId="191711D1" w:rsidR="005F090C" w:rsidRDefault="005F090C" w:rsidP="0095186C">
    <w:pPr>
      <w:pStyle w:val="Encabezado"/>
      <w:ind w:left="-1418"/>
    </w:pPr>
    <w:r>
      <w:rPr>
        <w:noProof/>
        <w:lang w:val="es-ES"/>
      </w:rPr>
      <w:drawing>
        <wp:inline distT="0" distB="0" distL="0" distR="0" wp14:anchorId="2513333A" wp14:editId="7A923760">
          <wp:extent cx="7191375" cy="561975"/>
          <wp:effectExtent l="0" t="0" r="9525"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561975"/>
                  </a:xfrm>
                  <a:prstGeom prst="rect">
                    <a:avLst/>
                  </a:prstGeom>
                  <a:noFill/>
                </pic:spPr>
              </pic:pic>
            </a:graphicData>
          </a:graphic>
        </wp:inline>
      </w:drawing>
    </w:r>
  </w:p>
  <w:p w14:paraId="550E23F1" w14:textId="77777777" w:rsidR="005F090C" w:rsidRDefault="005F09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5F5E"/>
    <w:multiLevelType w:val="hybridMultilevel"/>
    <w:tmpl w:val="6DDCFF26"/>
    <w:lvl w:ilvl="0" w:tplc="16B0E31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7E4073"/>
    <w:multiLevelType w:val="hybridMultilevel"/>
    <w:tmpl w:val="733A18E6"/>
    <w:lvl w:ilvl="0" w:tplc="7E8E9B6E">
      <w:start w:val="21"/>
      <w:numFmt w:val="bullet"/>
      <w:lvlText w:val=""/>
      <w:lvlJc w:val="left"/>
      <w:pPr>
        <w:ind w:left="720" w:hanging="360"/>
      </w:pPr>
      <w:rPr>
        <w:rFonts w:ascii="Symbol" w:eastAsiaTheme="minorEastAsia"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C60604"/>
    <w:multiLevelType w:val="hybridMultilevel"/>
    <w:tmpl w:val="0B644E1C"/>
    <w:lvl w:ilvl="0" w:tplc="F460CE1C">
      <w:start w:val="1"/>
      <w:numFmt w:val="upperRoman"/>
      <w:lvlText w:val="%1."/>
      <w:lvlJc w:val="left"/>
      <w:pPr>
        <w:ind w:left="1440" w:hanging="720"/>
      </w:pPr>
      <w:rPr>
        <w:rFonts w:asciiTheme="majorHAnsi" w:eastAsiaTheme="minorEastAsia" w:hAnsiTheme="majorHAnsi" w:cstheme="majorHAnsi"/>
        <w:b/>
        <w:sz w:val="24"/>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576576CB"/>
    <w:multiLevelType w:val="hybridMultilevel"/>
    <w:tmpl w:val="C038D542"/>
    <w:lvl w:ilvl="0" w:tplc="B9C8C596">
      <w:start w:val="21"/>
      <w:numFmt w:val="bullet"/>
      <w:lvlText w:val=""/>
      <w:lvlJc w:val="left"/>
      <w:pPr>
        <w:ind w:left="720" w:hanging="360"/>
      </w:pPr>
      <w:rPr>
        <w:rFonts w:ascii="Symbol" w:eastAsiaTheme="minorEastAsia"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A"/>
    <w:rsid w:val="00012FB5"/>
    <w:rsid w:val="00040FF3"/>
    <w:rsid w:val="000428F0"/>
    <w:rsid w:val="000B17FD"/>
    <w:rsid w:val="000D0BFA"/>
    <w:rsid w:val="00157374"/>
    <w:rsid w:val="0017534F"/>
    <w:rsid w:val="001C5380"/>
    <w:rsid w:val="002130BD"/>
    <w:rsid w:val="00233855"/>
    <w:rsid w:val="00255296"/>
    <w:rsid w:val="00274BBE"/>
    <w:rsid w:val="002D6A95"/>
    <w:rsid w:val="003C6FDE"/>
    <w:rsid w:val="003E30B5"/>
    <w:rsid w:val="004164A7"/>
    <w:rsid w:val="004516F9"/>
    <w:rsid w:val="00486E34"/>
    <w:rsid w:val="004B3B96"/>
    <w:rsid w:val="004C4C5B"/>
    <w:rsid w:val="004D59FD"/>
    <w:rsid w:val="00517EA3"/>
    <w:rsid w:val="005D5CDD"/>
    <w:rsid w:val="005F090C"/>
    <w:rsid w:val="00632890"/>
    <w:rsid w:val="006841FF"/>
    <w:rsid w:val="006948FB"/>
    <w:rsid w:val="006961AC"/>
    <w:rsid w:val="006E5346"/>
    <w:rsid w:val="006F6540"/>
    <w:rsid w:val="00721514"/>
    <w:rsid w:val="00733699"/>
    <w:rsid w:val="00771410"/>
    <w:rsid w:val="007A21A8"/>
    <w:rsid w:val="0085611F"/>
    <w:rsid w:val="008A6735"/>
    <w:rsid w:val="008F7B0A"/>
    <w:rsid w:val="00944E95"/>
    <w:rsid w:val="0095186C"/>
    <w:rsid w:val="009626D1"/>
    <w:rsid w:val="009773FE"/>
    <w:rsid w:val="009A1338"/>
    <w:rsid w:val="009C112B"/>
    <w:rsid w:val="009D114C"/>
    <w:rsid w:val="00A1362B"/>
    <w:rsid w:val="00A36AD1"/>
    <w:rsid w:val="00A52D6A"/>
    <w:rsid w:val="00A7076B"/>
    <w:rsid w:val="00AB1C1C"/>
    <w:rsid w:val="00B404CA"/>
    <w:rsid w:val="00B56B9A"/>
    <w:rsid w:val="00B8005A"/>
    <w:rsid w:val="00B93011"/>
    <w:rsid w:val="00B96CCB"/>
    <w:rsid w:val="00BA14A9"/>
    <w:rsid w:val="00BA7EE1"/>
    <w:rsid w:val="00BB6534"/>
    <w:rsid w:val="00BE0027"/>
    <w:rsid w:val="00BE5152"/>
    <w:rsid w:val="00C22BF7"/>
    <w:rsid w:val="00C87D20"/>
    <w:rsid w:val="00CA5924"/>
    <w:rsid w:val="00D65FB7"/>
    <w:rsid w:val="00D67307"/>
    <w:rsid w:val="00D717B6"/>
    <w:rsid w:val="00DA0DCC"/>
    <w:rsid w:val="00DA63B3"/>
    <w:rsid w:val="00E004DF"/>
    <w:rsid w:val="00E427CE"/>
    <w:rsid w:val="00ED0AD7"/>
    <w:rsid w:val="00EF20BA"/>
    <w:rsid w:val="00F6715F"/>
    <w:rsid w:val="00FA618F"/>
    <w:rsid w:val="00FF466B"/>
    <w:rsid w:val="00FF7E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51E7297"/>
  <w14:defaultImageDpi w14:val="300"/>
  <w15:docId w15:val="{82E8C92E-782A-4AD4-9C51-5F04EA6D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20B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20BA"/>
    <w:rPr>
      <w:rFonts w:ascii="Lucida Grande" w:hAnsi="Lucida Grande" w:cs="Lucida Grande"/>
      <w:sz w:val="18"/>
      <w:szCs w:val="18"/>
    </w:rPr>
  </w:style>
  <w:style w:type="paragraph" w:styleId="Encabezado">
    <w:name w:val="header"/>
    <w:basedOn w:val="Normal"/>
    <w:link w:val="EncabezadoCar"/>
    <w:uiPriority w:val="99"/>
    <w:unhideWhenUsed/>
    <w:rsid w:val="00721514"/>
    <w:pPr>
      <w:tabs>
        <w:tab w:val="center" w:pos="4252"/>
        <w:tab w:val="right" w:pos="8504"/>
      </w:tabs>
    </w:pPr>
  </w:style>
  <w:style w:type="character" w:customStyle="1" w:styleId="EncabezadoCar">
    <w:name w:val="Encabezado Car"/>
    <w:basedOn w:val="Fuentedeprrafopredeter"/>
    <w:link w:val="Encabezado"/>
    <w:uiPriority w:val="99"/>
    <w:rsid w:val="00721514"/>
  </w:style>
  <w:style w:type="paragraph" w:styleId="Piedepgina">
    <w:name w:val="footer"/>
    <w:basedOn w:val="Normal"/>
    <w:link w:val="PiedepginaCar"/>
    <w:uiPriority w:val="99"/>
    <w:unhideWhenUsed/>
    <w:rsid w:val="00721514"/>
    <w:pPr>
      <w:tabs>
        <w:tab w:val="center" w:pos="4252"/>
        <w:tab w:val="right" w:pos="8504"/>
      </w:tabs>
    </w:pPr>
  </w:style>
  <w:style w:type="character" w:customStyle="1" w:styleId="PiedepginaCar">
    <w:name w:val="Pie de página Car"/>
    <w:basedOn w:val="Fuentedeprrafopredeter"/>
    <w:link w:val="Piedepgina"/>
    <w:uiPriority w:val="99"/>
    <w:rsid w:val="00721514"/>
  </w:style>
  <w:style w:type="paragraph" w:styleId="Prrafodelista">
    <w:name w:val="List Paragraph"/>
    <w:basedOn w:val="Normal"/>
    <w:uiPriority w:val="34"/>
    <w:qFormat/>
    <w:rsid w:val="00D67307"/>
    <w:pPr>
      <w:ind w:left="720"/>
      <w:contextualSpacing/>
    </w:pPr>
  </w:style>
  <w:style w:type="table" w:styleId="Tablaconcuadrcula">
    <w:name w:val="Table Grid"/>
    <w:basedOn w:val="Tablanormal"/>
    <w:uiPriority w:val="59"/>
    <w:rsid w:val="00D6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D92387EB8E724AA16C3D93E6D77F52"/>
        <w:category>
          <w:name w:val="General"/>
          <w:gallery w:val="placeholder"/>
        </w:category>
        <w:types>
          <w:type w:val="bbPlcHdr"/>
        </w:types>
        <w:behaviors>
          <w:behavior w:val="content"/>
        </w:behaviors>
        <w:guid w:val="{E247DFCF-35D2-D446-8355-50901127A646}"/>
      </w:docPartPr>
      <w:docPartBody>
        <w:p w:rsidR="00A41F77" w:rsidRDefault="007F3A30" w:rsidP="007F3A30">
          <w:pPr>
            <w:pStyle w:val="33D92387EB8E724AA16C3D93E6D77F52"/>
          </w:pPr>
          <w:r>
            <w:rPr>
              <w:lang w:val="es-ES"/>
            </w:rPr>
            <w:t>[Escriba texto]</w:t>
          </w:r>
        </w:p>
      </w:docPartBody>
    </w:docPart>
    <w:docPart>
      <w:docPartPr>
        <w:name w:val="83B15A957F19CF42B7369C40D8DE5137"/>
        <w:category>
          <w:name w:val="General"/>
          <w:gallery w:val="placeholder"/>
        </w:category>
        <w:types>
          <w:type w:val="bbPlcHdr"/>
        </w:types>
        <w:behaviors>
          <w:behavior w:val="content"/>
        </w:behaviors>
        <w:guid w:val="{55D1D348-0914-1647-B390-AFED77C874CF}"/>
      </w:docPartPr>
      <w:docPartBody>
        <w:p w:rsidR="00A41F77" w:rsidRDefault="007F3A30" w:rsidP="007F3A30">
          <w:pPr>
            <w:pStyle w:val="83B15A957F19CF42B7369C40D8DE5137"/>
          </w:pPr>
          <w:r>
            <w:rPr>
              <w:lang w:val="es-ES"/>
            </w:rPr>
            <w:t>[Escriba texto]</w:t>
          </w:r>
        </w:p>
      </w:docPartBody>
    </w:docPart>
    <w:docPart>
      <w:docPartPr>
        <w:name w:val="BECB66C868F20C498E98B743399307CE"/>
        <w:category>
          <w:name w:val="General"/>
          <w:gallery w:val="placeholder"/>
        </w:category>
        <w:types>
          <w:type w:val="bbPlcHdr"/>
        </w:types>
        <w:behaviors>
          <w:behavior w:val="content"/>
        </w:behaviors>
        <w:guid w:val="{A644981B-943E-504D-964E-8FEFC8159E6D}"/>
      </w:docPartPr>
      <w:docPartBody>
        <w:p w:rsidR="00A41F77" w:rsidRDefault="007F3A30" w:rsidP="007F3A30">
          <w:pPr>
            <w:pStyle w:val="BECB66C868F20C498E98B743399307C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81"/>
    <w:rsid w:val="0001787B"/>
    <w:rsid w:val="000A3AA9"/>
    <w:rsid w:val="00100C64"/>
    <w:rsid w:val="0021362B"/>
    <w:rsid w:val="00340684"/>
    <w:rsid w:val="0047016A"/>
    <w:rsid w:val="00512F30"/>
    <w:rsid w:val="0059559E"/>
    <w:rsid w:val="007F3A30"/>
    <w:rsid w:val="00880678"/>
    <w:rsid w:val="008D3416"/>
    <w:rsid w:val="00992E81"/>
    <w:rsid w:val="00A03091"/>
    <w:rsid w:val="00A41F77"/>
    <w:rsid w:val="00B61555"/>
    <w:rsid w:val="00CD5F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3D765D1090AA43A8CBE120C9407950">
    <w:name w:val="9A3D765D1090AA43A8CBE120C9407950"/>
    <w:rsid w:val="00992E81"/>
  </w:style>
  <w:style w:type="paragraph" w:customStyle="1" w:styleId="850867BC26A70F488FE4DAD8AB53FB7E">
    <w:name w:val="850867BC26A70F488FE4DAD8AB53FB7E"/>
    <w:rsid w:val="00992E81"/>
  </w:style>
  <w:style w:type="paragraph" w:customStyle="1" w:styleId="C5B2B97D376EDC499EB4C055450F6646">
    <w:name w:val="C5B2B97D376EDC499EB4C055450F6646"/>
    <w:rsid w:val="00992E81"/>
  </w:style>
  <w:style w:type="paragraph" w:customStyle="1" w:styleId="546480D1AB845344893084385289C3EA">
    <w:name w:val="546480D1AB845344893084385289C3EA"/>
    <w:rsid w:val="00992E81"/>
  </w:style>
  <w:style w:type="paragraph" w:customStyle="1" w:styleId="EC892165942F5F40AF6A0212ABF066D9">
    <w:name w:val="EC892165942F5F40AF6A0212ABF066D9"/>
    <w:rsid w:val="00992E81"/>
  </w:style>
  <w:style w:type="paragraph" w:customStyle="1" w:styleId="4646FFBBD48CAA4797C1157CF845D454">
    <w:name w:val="4646FFBBD48CAA4797C1157CF845D454"/>
    <w:rsid w:val="00992E81"/>
  </w:style>
  <w:style w:type="paragraph" w:customStyle="1" w:styleId="33D92387EB8E724AA16C3D93E6D77F52">
    <w:name w:val="33D92387EB8E724AA16C3D93E6D77F52"/>
    <w:rsid w:val="007F3A30"/>
  </w:style>
  <w:style w:type="paragraph" w:customStyle="1" w:styleId="83B15A957F19CF42B7369C40D8DE5137">
    <w:name w:val="83B15A957F19CF42B7369C40D8DE5137"/>
    <w:rsid w:val="007F3A30"/>
  </w:style>
  <w:style w:type="paragraph" w:customStyle="1" w:styleId="BECB66C868F20C498E98B743399307CE">
    <w:name w:val="BECB66C868F20C498E98B743399307CE"/>
    <w:rsid w:val="007F3A30"/>
  </w:style>
  <w:style w:type="paragraph" w:customStyle="1" w:styleId="3405490969E8DA42828F77C52E2FE516">
    <w:name w:val="3405490969E8DA42828F77C52E2FE516"/>
    <w:rsid w:val="007F3A30"/>
  </w:style>
  <w:style w:type="paragraph" w:customStyle="1" w:styleId="8796198D214D2E4ABB43077383AB2171">
    <w:name w:val="8796198D214D2E4ABB43077383AB2171"/>
    <w:rsid w:val="007F3A30"/>
  </w:style>
  <w:style w:type="paragraph" w:customStyle="1" w:styleId="A2F5CBF493E6E04298126E89C741761E">
    <w:name w:val="A2F5CBF493E6E04298126E89C741761E"/>
    <w:rsid w:val="007F3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56DF-7C7A-4200-8CF5-7A25AB47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San Miguel</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Ayelen Acevedo</cp:lastModifiedBy>
  <cp:revision>5</cp:revision>
  <cp:lastPrinted>2018-07-04T18:45:00Z</cp:lastPrinted>
  <dcterms:created xsi:type="dcterms:W3CDTF">2018-09-04T16:24:00Z</dcterms:created>
  <dcterms:modified xsi:type="dcterms:W3CDTF">2020-01-08T12:17:00Z</dcterms:modified>
</cp:coreProperties>
</file>